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9F" w:rsidRPr="007B5975" w:rsidRDefault="00927F9F" w:rsidP="00927F9F">
      <w:pPr>
        <w:pStyle w:val="1"/>
        <w:jc w:val="center"/>
        <w:rPr>
          <w:rFonts w:ascii="Cambria" w:hAnsi="Cambria" w:cs="Times New Roman"/>
          <w:sz w:val="28"/>
        </w:rPr>
      </w:pPr>
      <w:bookmarkStart w:id="0" w:name="_Toc386521841"/>
      <w:r w:rsidRPr="007B5975">
        <w:rPr>
          <w:rFonts w:ascii="Cambria" w:hAnsi="Cambria" w:cs="Times New Roman"/>
          <w:sz w:val="28"/>
        </w:rPr>
        <w:t>ΠΑΡΑΡΤΗΜΑ Α</w:t>
      </w:r>
      <w:bookmarkEnd w:id="0"/>
    </w:p>
    <w:p w:rsidR="00927F9F" w:rsidRDefault="00927F9F" w:rsidP="00927F9F">
      <w:pPr>
        <w:rPr>
          <w:u w:val="single"/>
          <w:lang w:val="el-GR"/>
        </w:rPr>
      </w:pPr>
    </w:p>
    <w:p w:rsidR="00927F9F" w:rsidRPr="007E6482" w:rsidRDefault="00927F9F" w:rsidP="00927F9F">
      <w:pPr>
        <w:autoSpaceDE w:val="0"/>
        <w:autoSpaceDN w:val="0"/>
        <w:adjustRightInd w:val="0"/>
        <w:ind w:right="-30"/>
        <w:jc w:val="center"/>
        <w:rPr>
          <w:rFonts w:ascii="Calibri-Bold" w:eastAsia="Calibri" w:hAnsi="Calibri-Bold" w:cs="Calibri-Bold"/>
          <w:b/>
          <w:bCs/>
          <w:szCs w:val="22"/>
          <w:lang w:val="el-GR"/>
        </w:rPr>
      </w:pPr>
      <w:r w:rsidRPr="00F16B5A">
        <w:rPr>
          <w:rFonts w:ascii="Calibri-Bold" w:eastAsia="Calibri" w:hAnsi="Calibri-Bold" w:cs="Calibri-Bold"/>
          <w:b/>
          <w:bCs/>
          <w:szCs w:val="22"/>
          <w:lang w:val="el-GR"/>
        </w:rPr>
        <w:t xml:space="preserve">Πλαίσιο Προσόντων </w:t>
      </w:r>
      <w:r w:rsidRPr="007E6482">
        <w:rPr>
          <w:rFonts w:ascii="Calibri-Bold" w:eastAsia="Calibri" w:hAnsi="Calibri-Bold" w:cs="Calibri-Bold"/>
          <w:b/>
          <w:bCs/>
          <w:szCs w:val="22"/>
          <w:lang w:val="el-GR"/>
        </w:rPr>
        <w:t>του Ευρωπαϊκού Χώρου της Ανώτατης Εκπαίδευσης</w:t>
      </w:r>
    </w:p>
    <w:p w:rsidR="00927F9F" w:rsidRPr="00D15DC3" w:rsidRDefault="00927F9F" w:rsidP="00927F9F">
      <w:pPr>
        <w:rPr>
          <w:u w:val="single"/>
          <w:lang w:val="el-GR"/>
        </w:rPr>
      </w:pPr>
    </w:p>
    <w:p w:rsidR="00927F9F" w:rsidRPr="007968A7" w:rsidRDefault="00927F9F" w:rsidP="00927F9F">
      <w:pPr>
        <w:numPr>
          <w:ilvl w:val="0"/>
          <w:numId w:val="6"/>
        </w:numPr>
        <w:spacing w:line="264" w:lineRule="auto"/>
        <w:jc w:val="both"/>
        <w:rPr>
          <w:b/>
          <w:i/>
          <w:sz w:val="22"/>
          <w:szCs w:val="22"/>
          <w:lang w:val="el-GR"/>
        </w:rPr>
      </w:pPr>
      <w:r w:rsidRPr="007968A7">
        <w:rPr>
          <w:b/>
          <w:i/>
          <w:sz w:val="22"/>
          <w:szCs w:val="22"/>
          <w:lang w:val="el-GR"/>
        </w:rPr>
        <w:t>Το Πλαίσιο Προσόντων του Ευρωπαϊκού Χώρου Ανώτατης Εκπαίδευσης (ΕΧΑΕ)</w:t>
      </w:r>
    </w:p>
    <w:p w:rsidR="00927F9F" w:rsidRPr="007968A7" w:rsidRDefault="00927F9F" w:rsidP="00927F9F">
      <w:pPr>
        <w:spacing w:line="264" w:lineRule="auto"/>
        <w:jc w:val="both"/>
        <w:rPr>
          <w:sz w:val="22"/>
          <w:szCs w:val="22"/>
          <w:lang w:val="el-GR"/>
        </w:rPr>
      </w:pPr>
      <w:r w:rsidRPr="007968A7">
        <w:rPr>
          <w:sz w:val="22"/>
          <w:szCs w:val="22"/>
          <w:lang w:val="el-GR"/>
        </w:rPr>
        <w:t>Το Πλαίσιο Προσόντων του ΕΧΑΕ, έχει ως στόχους:</w:t>
      </w:r>
    </w:p>
    <w:p w:rsidR="00927F9F" w:rsidRPr="007968A7" w:rsidRDefault="00927F9F" w:rsidP="00927F9F">
      <w:pPr>
        <w:numPr>
          <w:ilvl w:val="0"/>
          <w:numId w:val="4"/>
        </w:numPr>
        <w:spacing w:line="264" w:lineRule="auto"/>
        <w:jc w:val="both"/>
        <w:rPr>
          <w:sz w:val="22"/>
          <w:szCs w:val="22"/>
          <w:lang w:val="el-GR"/>
        </w:rPr>
      </w:pPr>
      <w:r w:rsidRPr="007968A7">
        <w:rPr>
          <w:sz w:val="22"/>
          <w:szCs w:val="22"/>
          <w:lang w:val="el-GR"/>
        </w:rPr>
        <w:t xml:space="preserve">την ενίσχυση της </w:t>
      </w:r>
      <w:r w:rsidRPr="007968A7">
        <w:rPr>
          <w:b/>
          <w:sz w:val="22"/>
          <w:szCs w:val="22"/>
          <w:lang w:val="el-GR"/>
        </w:rPr>
        <w:t>διαφάνειας</w:t>
      </w:r>
      <w:r w:rsidRPr="007968A7">
        <w:rPr>
          <w:sz w:val="22"/>
          <w:szCs w:val="22"/>
          <w:lang w:val="el-GR"/>
        </w:rPr>
        <w:t xml:space="preserve"> της μάθησης και των τίτλων σπουδών Ανώτατης Εκπαίδευσης που απονέμονται στις χώρες που συμμετέχουν στον Ευρωπαϊκό Χώρο Ανώτατης Εκπαίδευσης,</w:t>
      </w:r>
    </w:p>
    <w:p w:rsidR="00927F9F" w:rsidRPr="007968A7" w:rsidRDefault="00927F9F" w:rsidP="00927F9F">
      <w:pPr>
        <w:numPr>
          <w:ilvl w:val="0"/>
          <w:numId w:val="4"/>
        </w:numPr>
        <w:spacing w:line="264" w:lineRule="auto"/>
        <w:jc w:val="both"/>
        <w:rPr>
          <w:sz w:val="22"/>
          <w:szCs w:val="22"/>
          <w:lang w:val="el-GR"/>
        </w:rPr>
      </w:pPr>
      <w:r w:rsidRPr="007968A7">
        <w:rPr>
          <w:sz w:val="22"/>
          <w:szCs w:val="22"/>
          <w:lang w:val="el-GR"/>
        </w:rPr>
        <w:t xml:space="preserve">την αμοιβαία </w:t>
      </w:r>
      <w:r w:rsidRPr="007968A7">
        <w:rPr>
          <w:b/>
          <w:sz w:val="22"/>
          <w:szCs w:val="22"/>
          <w:lang w:val="el-GR"/>
        </w:rPr>
        <w:t>κατανόηση</w:t>
      </w:r>
      <w:r w:rsidRPr="007968A7">
        <w:rPr>
          <w:sz w:val="22"/>
          <w:szCs w:val="22"/>
          <w:lang w:val="el-GR"/>
        </w:rPr>
        <w:t xml:space="preserve"> και </w:t>
      </w:r>
      <w:r w:rsidRPr="007968A7">
        <w:rPr>
          <w:b/>
          <w:sz w:val="22"/>
          <w:szCs w:val="22"/>
          <w:lang w:val="el-GR"/>
        </w:rPr>
        <w:t>εμπιστοσύνη</w:t>
      </w:r>
      <w:r w:rsidRPr="007968A7">
        <w:rPr>
          <w:sz w:val="22"/>
          <w:szCs w:val="22"/>
          <w:lang w:val="el-GR"/>
        </w:rPr>
        <w:t xml:space="preserve"> σε ευρωπαϊκό και παγκόσμιο επίπεδο,</w:t>
      </w:r>
    </w:p>
    <w:p w:rsidR="00927F9F" w:rsidRPr="007968A7" w:rsidRDefault="00927F9F" w:rsidP="00927F9F">
      <w:pPr>
        <w:numPr>
          <w:ilvl w:val="0"/>
          <w:numId w:val="4"/>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αναγνώρισης</w:t>
      </w:r>
      <w:r w:rsidRPr="007968A7">
        <w:rPr>
          <w:sz w:val="22"/>
          <w:szCs w:val="22"/>
          <w:lang w:val="el-GR"/>
        </w:rPr>
        <w:t xml:space="preserve"> περιόδων και των τίτλων σπουδών κάθε χώρας, και</w:t>
      </w:r>
    </w:p>
    <w:p w:rsidR="00927F9F" w:rsidRPr="007968A7" w:rsidRDefault="00927F9F" w:rsidP="00927F9F">
      <w:pPr>
        <w:numPr>
          <w:ilvl w:val="0"/>
          <w:numId w:val="4"/>
        </w:numPr>
        <w:spacing w:line="264" w:lineRule="auto"/>
        <w:jc w:val="both"/>
        <w:rPr>
          <w:sz w:val="22"/>
          <w:szCs w:val="22"/>
          <w:lang w:val="el-GR"/>
        </w:rPr>
      </w:pPr>
      <w:r w:rsidRPr="007968A7">
        <w:rPr>
          <w:sz w:val="22"/>
          <w:szCs w:val="22"/>
          <w:lang w:val="el-GR"/>
        </w:rPr>
        <w:t xml:space="preserve">τη διευκόλυνση της διεθνούς </w:t>
      </w:r>
      <w:r w:rsidRPr="007968A7">
        <w:rPr>
          <w:b/>
          <w:sz w:val="22"/>
          <w:szCs w:val="22"/>
          <w:lang w:val="el-GR"/>
        </w:rPr>
        <w:t xml:space="preserve">κινητικότητας </w:t>
      </w:r>
      <w:r w:rsidRPr="007968A7">
        <w:rPr>
          <w:sz w:val="22"/>
          <w:szCs w:val="22"/>
          <w:lang w:val="el-GR"/>
        </w:rPr>
        <w:t>των φοιτητών και αποφοίτων με σκοπό τη συνέχιση των σπουδών τους ή την εργασία.</w:t>
      </w:r>
    </w:p>
    <w:p w:rsidR="00927F9F" w:rsidRPr="007968A7" w:rsidRDefault="00927F9F" w:rsidP="00927F9F">
      <w:pPr>
        <w:spacing w:line="264" w:lineRule="auto"/>
        <w:jc w:val="both"/>
        <w:rPr>
          <w:sz w:val="22"/>
          <w:szCs w:val="22"/>
          <w:lang w:val="el-GR"/>
        </w:rPr>
      </w:pPr>
      <w:r w:rsidRPr="007968A7">
        <w:rPr>
          <w:sz w:val="22"/>
          <w:szCs w:val="22"/>
          <w:lang w:val="el-GR"/>
        </w:rPr>
        <w:t xml:space="preserve">Το Πλαίσιο Προσόντων του ΕΧΑΕ λαμβάνει υπόψη του την ποικιλότητα των εθνικών συστημάτων ανώτατης εκπαίδευσης και διευκολύνει την αμοιβαία κατανόηση και σύγκρισή τους μεταξύ των διαφορετικών χωρών. Με την έννοια αυτή, το Πλαίσιο </w:t>
      </w:r>
      <w:r w:rsidRPr="00C56E49">
        <w:rPr>
          <w:sz w:val="22"/>
          <w:szCs w:val="22"/>
          <w:lang w:val="el-GR"/>
        </w:rPr>
        <w:t>Προσόντων του Ευρωπαϊκού Χώρου της Ανώτατης Εκπαίδευσης</w:t>
      </w:r>
      <w:r w:rsidRPr="007968A7">
        <w:rPr>
          <w:sz w:val="22"/>
          <w:szCs w:val="22"/>
          <w:lang w:val="el-GR"/>
        </w:rPr>
        <w:t>, όπως άλλωστε και το Ευρωπαϊκό Πλαίσιο Προσόντων (</w:t>
      </w:r>
      <w:r w:rsidRPr="007968A7">
        <w:rPr>
          <w:sz w:val="22"/>
          <w:szCs w:val="22"/>
        </w:rPr>
        <w:t>EQF</w:t>
      </w:r>
      <w:r w:rsidRPr="007968A7">
        <w:rPr>
          <w:sz w:val="22"/>
          <w:szCs w:val="22"/>
          <w:lang w:val="el-GR"/>
        </w:rPr>
        <w:t xml:space="preserve">), </w:t>
      </w:r>
      <w:r>
        <w:rPr>
          <w:sz w:val="22"/>
          <w:szCs w:val="22"/>
          <w:lang w:val="el-GR"/>
        </w:rPr>
        <w:t>αποτελούν έναν οδηγό</w:t>
      </w:r>
      <w:r w:rsidRPr="007968A7">
        <w:rPr>
          <w:sz w:val="22"/>
          <w:szCs w:val="22"/>
          <w:lang w:val="el-GR"/>
        </w:rPr>
        <w:t xml:space="preserve"> για τα </w:t>
      </w:r>
      <w:r>
        <w:rPr>
          <w:sz w:val="22"/>
          <w:szCs w:val="22"/>
          <w:lang w:val="el-GR"/>
        </w:rPr>
        <w:t xml:space="preserve">αντίστοιχα </w:t>
      </w:r>
      <w:r w:rsidRPr="007968A7">
        <w:rPr>
          <w:sz w:val="22"/>
          <w:szCs w:val="22"/>
          <w:lang w:val="el-GR"/>
        </w:rPr>
        <w:t xml:space="preserve">εθνικά πλαίσια, δηλαδή ένα </w:t>
      </w:r>
      <w:proofErr w:type="spellStart"/>
      <w:r w:rsidRPr="007968A7">
        <w:rPr>
          <w:sz w:val="22"/>
          <w:szCs w:val="22"/>
          <w:lang w:val="el-GR"/>
        </w:rPr>
        <w:t>Μέτα</w:t>
      </w:r>
      <w:proofErr w:type="spellEnd"/>
      <w:r w:rsidRPr="007968A7">
        <w:rPr>
          <w:sz w:val="22"/>
          <w:szCs w:val="22"/>
          <w:lang w:val="el-GR"/>
        </w:rPr>
        <w:t>-Πλαίσιο.</w:t>
      </w:r>
    </w:p>
    <w:p w:rsidR="00927F9F" w:rsidRPr="007968A7" w:rsidRDefault="00927F9F" w:rsidP="00927F9F">
      <w:pPr>
        <w:spacing w:line="264" w:lineRule="auto"/>
        <w:jc w:val="both"/>
        <w:rPr>
          <w:sz w:val="22"/>
          <w:szCs w:val="22"/>
          <w:lang w:val="el-GR"/>
        </w:rPr>
      </w:pPr>
      <w:r w:rsidRPr="007968A7">
        <w:rPr>
          <w:sz w:val="22"/>
          <w:szCs w:val="22"/>
          <w:lang w:val="el-GR"/>
        </w:rPr>
        <w:t>Το Πλαίσιο Προσόντων του ΕΧΑΕ βασίζεται στην οργάνωση των σπουδών σε τρεις κύκλους και συνίσταται στην περιγραφή των προσόντων που απονέμονται σε κάθε κύκλο με βάση κοινές αρχές, κριτήρια και περιγραφικούς δείκτες.  Οι αρχές, τα κριτήρια και οι περιγραφικοί δείκτες είναι κοινά στις χώρες του Ευρωπαϊκού Χώρου Ανώτατης Εκπαίδευσης και αναπτύχθηκαν με τη συμμετοχή και τη συνεργασία εκπροσώπων των ιδρυμάτων ανώτατης εκπαίδευσης και των ενδιαφερόμενων φορέων σε ευρωπαϊκό επίπεδο.  Οι δείκτες αυτοί είναι διεθνώς γνωστοί ως Περιγραφικοί Δείκτες του Δουβλίνου (</w:t>
      </w:r>
      <w:r w:rsidRPr="007968A7">
        <w:rPr>
          <w:sz w:val="22"/>
          <w:szCs w:val="22"/>
        </w:rPr>
        <w:t>Dublin</w:t>
      </w:r>
      <w:r w:rsidRPr="007968A7">
        <w:rPr>
          <w:sz w:val="22"/>
          <w:szCs w:val="22"/>
          <w:lang w:val="el-GR"/>
        </w:rPr>
        <w:t xml:space="preserve"> </w:t>
      </w:r>
      <w:r w:rsidRPr="007968A7">
        <w:rPr>
          <w:sz w:val="22"/>
          <w:szCs w:val="22"/>
        </w:rPr>
        <w:t>Descriptors</w:t>
      </w:r>
      <w:r w:rsidRPr="007968A7">
        <w:rPr>
          <w:sz w:val="22"/>
          <w:szCs w:val="22"/>
          <w:lang w:val="el-GR"/>
        </w:rPr>
        <w:t>).</w:t>
      </w:r>
    </w:p>
    <w:p w:rsidR="00927F9F" w:rsidRPr="007968A7" w:rsidRDefault="00927F9F" w:rsidP="00927F9F">
      <w:pPr>
        <w:spacing w:line="264" w:lineRule="auto"/>
        <w:jc w:val="both"/>
        <w:rPr>
          <w:sz w:val="22"/>
          <w:szCs w:val="22"/>
          <w:lang w:val="el-GR"/>
        </w:rPr>
      </w:pPr>
      <w:r w:rsidRPr="007968A7">
        <w:rPr>
          <w:sz w:val="22"/>
          <w:szCs w:val="22"/>
          <w:lang w:val="el-GR"/>
        </w:rPr>
        <w:t>Οι Περιγραφικοί Δείκτες του Δουβλίνου (</w:t>
      </w:r>
      <w:r>
        <w:rPr>
          <w:sz w:val="22"/>
          <w:szCs w:val="22"/>
          <w:lang w:val="el-GR"/>
        </w:rPr>
        <w:t>Πίνακας</w:t>
      </w:r>
      <w:r w:rsidRPr="007968A7">
        <w:rPr>
          <w:sz w:val="22"/>
          <w:szCs w:val="22"/>
          <w:lang w:val="el-GR"/>
        </w:rPr>
        <w:t xml:space="preserve"> </w:t>
      </w:r>
      <w:r>
        <w:rPr>
          <w:sz w:val="22"/>
          <w:szCs w:val="22"/>
          <w:lang w:val="el-GR"/>
        </w:rPr>
        <w:t>Α.</w:t>
      </w:r>
      <w:r w:rsidRPr="007968A7">
        <w:rPr>
          <w:sz w:val="22"/>
          <w:szCs w:val="22"/>
          <w:lang w:val="el-GR"/>
        </w:rPr>
        <w:t>1) είναι, κατ’ ανάγκη, αρκετά γενικοί ώστε να γίνεται σεβαστή η αυτονομία των ιδρυμάτων ανώτατης εκπαίδευσης στην οργάνωση της μάθησης και των προγραμμάτων σπουδών τους, και να μπορούν να συμπεριληφθούν οι υπαρκτές διαφορές</w:t>
      </w:r>
    </w:p>
    <w:p w:rsidR="00927F9F" w:rsidRPr="00C56E49" w:rsidRDefault="00927F9F" w:rsidP="00927F9F">
      <w:pPr>
        <w:numPr>
          <w:ilvl w:val="0"/>
          <w:numId w:val="5"/>
        </w:numPr>
        <w:spacing w:line="264" w:lineRule="auto"/>
        <w:jc w:val="both"/>
        <w:rPr>
          <w:sz w:val="22"/>
          <w:szCs w:val="22"/>
          <w:lang w:val="el-GR"/>
        </w:rPr>
      </w:pPr>
      <w:r w:rsidRPr="00F16B5A">
        <w:rPr>
          <w:sz w:val="22"/>
          <w:szCs w:val="22"/>
          <w:lang w:val="el-GR"/>
        </w:rPr>
        <w:t>μετ</w:t>
      </w:r>
      <w:r w:rsidRPr="00C56E49">
        <w:rPr>
          <w:sz w:val="22"/>
          <w:szCs w:val="22"/>
          <w:lang w:val="el-GR"/>
        </w:rPr>
        <w:t xml:space="preserve">αξύ </w:t>
      </w:r>
      <w:r w:rsidRPr="00F16B5A">
        <w:rPr>
          <w:sz w:val="22"/>
          <w:szCs w:val="22"/>
          <w:lang w:val="el-GR"/>
        </w:rPr>
        <w:t>των γνωστικών πεδίων</w:t>
      </w:r>
      <w:r w:rsidRPr="00C56E49">
        <w:rPr>
          <w:sz w:val="22"/>
          <w:szCs w:val="22"/>
          <w:lang w:val="el-GR"/>
        </w:rPr>
        <w:t>, και</w:t>
      </w:r>
    </w:p>
    <w:p w:rsidR="00927F9F" w:rsidRPr="007968A7" w:rsidRDefault="00927F9F" w:rsidP="00927F9F">
      <w:pPr>
        <w:numPr>
          <w:ilvl w:val="0"/>
          <w:numId w:val="5"/>
        </w:numPr>
        <w:spacing w:line="264" w:lineRule="auto"/>
        <w:jc w:val="both"/>
        <w:rPr>
          <w:sz w:val="22"/>
          <w:szCs w:val="22"/>
          <w:lang w:val="el-GR"/>
        </w:rPr>
      </w:pPr>
      <w:r w:rsidRPr="007968A7">
        <w:rPr>
          <w:sz w:val="22"/>
          <w:szCs w:val="22"/>
          <w:lang w:val="el-GR"/>
        </w:rPr>
        <w:t>της οργάνωσης των σπουδών μεταξύ των εθνικών συστημάτων ανώτατης εκπαίδευσης στις χώρες του Ευρωπαϊκού Χώρου Ανώτατης Εκπαίδευσης.</w:t>
      </w:r>
    </w:p>
    <w:p w:rsidR="00927F9F" w:rsidRPr="007968A7" w:rsidRDefault="00927F9F" w:rsidP="00927F9F">
      <w:pPr>
        <w:spacing w:line="264" w:lineRule="auto"/>
        <w:jc w:val="both"/>
        <w:rPr>
          <w:sz w:val="22"/>
          <w:szCs w:val="22"/>
          <w:lang w:val="el-GR"/>
        </w:rPr>
      </w:pPr>
      <w:r w:rsidRPr="007968A7">
        <w:rPr>
          <w:sz w:val="22"/>
          <w:szCs w:val="22"/>
          <w:lang w:val="el-GR"/>
        </w:rPr>
        <w:t>Η αμοιβαία κατανόηση των προσόντων και η εμπιστοσύνη μεταξύ όλων των ενδιαφερόμενων (εθνικών αρχών, ιδρυμάτων ανώτατης εκπαίδευσης, φοιτητών, επαγγελματικών φορέων, εκπροσώπων αγοράς εργασίας κ.α.) αποτελούν απαραίτητες προϋποθέσεις για την επιτυχή εφαρμογή του Πλαισίου Προσόντων του ΕΧΑΕ και την οικοδόμηση του Ευρωπαϊκού Χώρου Ανώτατης Εκπαίδευσης.</w:t>
      </w:r>
    </w:p>
    <w:p w:rsidR="00927F9F" w:rsidRPr="007968A7" w:rsidRDefault="00927F9F" w:rsidP="00927F9F">
      <w:pPr>
        <w:spacing w:line="264" w:lineRule="auto"/>
        <w:jc w:val="both"/>
        <w:rPr>
          <w:sz w:val="22"/>
          <w:szCs w:val="22"/>
          <w:lang w:val="el-GR"/>
        </w:rPr>
      </w:pPr>
    </w:p>
    <w:p w:rsidR="00927F9F" w:rsidRPr="007968A7" w:rsidRDefault="00927F9F" w:rsidP="00927F9F">
      <w:pPr>
        <w:numPr>
          <w:ilvl w:val="0"/>
          <w:numId w:val="6"/>
        </w:numPr>
        <w:spacing w:line="264" w:lineRule="auto"/>
        <w:jc w:val="both"/>
        <w:rPr>
          <w:b/>
          <w:i/>
          <w:sz w:val="22"/>
          <w:szCs w:val="22"/>
          <w:lang w:val="el-GR"/>
        </w:rPr>
      </w:pPr>
      <w:r w:rsidRPr="007968A7">
        <w:rPr>
          <w:b/>
          <w:i/>
          <w:sz w:val="22"/>
          <w:szCs w:val="22"/>
          <w:lang w:val="el-GR"/>
        </w:rPr>
        <w:t xml:space="preserve">Το Πλαίσιο Προσόντων του ΕΧΑΕ και το Ευρωπαϊκό Πλαίσιο Προσόντων Διά Βίου Μάθησης </w:t>
      </w:r>
    </w:p>
    <w:p w:rsidR="00927F9F" w:rsidRPr="007968A7" w:rsidRDefault="00927F9F" w:rsidP="00927F9F">
      <w:pPr>
        <w:spacing w:line="264" w:lineRule="auto"/>
        <w:jc w:val="both"/>
        <w:rPr>
          <w:sz w:val="22"/>
          <w:szCs w:val="22"/>
          <w:lang w:val="el-GR"/>
        </w:rPr>
      </w:pPr>
      <w:r w:rsidRPr="007968A7">
        <w:rPr>
          <w:sz w:val="22"/>
          <w:szCs w:val="22"/>
          <w:lang w:val="el-GR"/>
        </w:rPr>
        <w:t>Θα πρέπει να επισημανθεί ότι το Πλαίσιο Προσόντων του ΕΧΑΕ, που έχει αναπτυχθεί στο πλαίσιο της Διαδικασίας της Μπολόνια, είναι συμβατό με το Ευρωπαϊκό Πλαίσιο Προσόντων Διά Βίου Μάθησης (</w:t>
      </w:r>
      <w:r>
        <w:rPr>
          <w:sz w:val="22"/>
          <w:szCs w:val="22"/>
          <w:lang w:val="el-GR"/>
        </w:rPr>
        <w:t>Πίνακας</w:t>
      </w:r>
      <w:r w:rsidRPr="007968A7">
        <w:rPr>
          <w:sz w:val="22"/>
          <w:szCs w:val="22"/>
          <w:lang w:val="el-GR"/>
        </w:rPr>
        <w:t xml:space="preserve"> </w:t>
      </w:r>
      <w:r>
        <w:rPr>
          <w:sz w:val="22"/>
          <w:szCs w:val="22"/>
          <w:lang w:val="el-GR"/>
        </w:rPr>
        <w:t>Α.</w:t>
      </w:r>
      <w:r w:rsidRPr="007968A7">
        <w:rPr>
          <w:sz w:val="22"/>
          <w:szCs w:val="22"/>
          <w:lang w:val="el-GR"/>
        </w:rPr>
        <w:t xml:space="preserve">2) που έχει αναπτυχθεί και υιοθετηθεί από την Ευρωπαϊκή </w:t>
      </w:r>
      <w:r w:rsidRPr="007968A7">
        <w:rPr>
          <w:sz w:val="22"/>
          <w:szCs w:val="22"/>
          <w:lang w:val="el-GR"/>
        </w:rPr>
        <w:lastRenderedPageBreak/>
        <w:t xml:space="preserve">Ένωση </w:t>
      </w:r>
      <w:r>
        <w:rPr>
          <w:sz w:val="22"/>
          <w:szCs w:val="22"/>
          <w:lang w:val="el-GR"/>
        </w:rPr>
        <w:t>ύστερα από</w:t>
      </w:r>
      <w:r w:rsidRPr="007968A7">
        <w:rPr>
          <w:sz w:val="22"/>
          <w:szCs w:val="22"/>
          <w:lang w:val="el-GR"/>
        </w:rPr>
        <w:t xml:space="preserve"> Σύσταση του Ευρωπαϊκού Κοινοβουλίου και του Συμβουλίου της Ευρωπαϊκής Ένωσης</w:t>
      </w:r>
      <w:r>
        <w:rPr>
          <w:sz w:val="22"/>
          <w:szCs w:val="22"/>
          <w:lang w:val="el-GR"/>
        </w:rPr>
        <w:t>.</w:t>
      </w:r>
      <w:r w:rsidRPr="007968A7">
        <w:rPr>
          <w:sz w:val="22"/>
          <w:szCs w:val="22"/>
          <w:lang w:val="el-GR"/>
        </w:rPr>
        <w:t xml:space="preserve"> </w:t>
      </w:r>
      <w:r>
        <w:rPr>
          <w:sz w:val="22"/>
          <w:szCs w:val="22"/>
          <w:lang w:val="el-GR"/>
        </w:rPr>
        <w:t>(</w:t>
      </w:r>
      <w:r w:rsidRPr="007968A7">
        <w:rPr>
          <w:sz w:val="22"/>
          <w:szCs w:val="22"/>
          <w:lang w:val="el-GR"/>
        </w:rPr>
        <w:t>Απρίλιος 2008</w:t>
      </w:r>
      <w:r>
        <w:rPr>
          <w:sz w:val="22"/>
          <w:szCs w:val="22"/>
          <w:lang w:val="el-GR"/>
        </w:rPr>
        <w:t>)</w:t>
      </w:r>
      <w:r w:rsidRPr="007968A7">
        <w:rPr>
          <w:sz w:val="22"/>
          <w:szCs w:val="22"/>
          <w:lang w:val="el-GR"/>
        </w:rPr>
        <w:t>.</w:t>
      </w:r>
    </w:p>
    <w:p w:rsidR="00927F9F" w:rsidRPr="007968A7" w:rsidRDefault="00927F9F" w:rsidP="00927F9F">
      <w:pPr>
        <w:spacing w:line="264" w:lineRule="auto"/>
        <w:jc w:val="both"/>
        <w:rPr>
          <w:sz w:val="22"/>
          <w:szCs w:val="22"/>
          <w:lang w:val="el-GR"/>
        </w:rPr>
      </w:pPr>
      <w:r w:rsidRPr="007968A7">
        <w:rPr>
          <w:sz w:val="22"/>
          <w:szCs w:val="22"/>
          <w:lang w:val="el-GR"/>
        </w:rPr>
        <w:t xml:space="preserve">Η σημαντικότερη μεταξύ τους διαφορά είναι ότι το Ευρωπαϊκό Πλαίσιο Προσόντων Διά Βίου Μάθησης περιλαμβάνει κοινές αρχές και κριτήρια για την περιγραφή των σπουδών, της μάθησης και των προσόντων σε όλα τα επίπεδα εκπαίδευσης, ενώ αυτό </w:t>
      </w:r>
      <w:r>
        <w:rPr>
          <w:sz w:val="22"/>
          <w:szCs w:val="22"/>
          <w:lang w:val="el-GR"/>
        </w:rPr>
        <w:t>του ΕΧΑΕ</w:t>
      </w:r>
      <w:r w:rsidRPr="007968A7">
        <w:rPr>
          <w:sz w:val="22"/>
          <w:szCs w:val="22"/>
          <w:lang w:val="el-GR"/>
        </w:rPr>
        <w:t xml:space="preserve"> περιορίζεται στα προσόντα που αναπτύσσονται στο πλαίσιο των τριών κύκλων σπουδών της Ανώτατης Εκπαίδευσης. Η μεταξύ τους σύγκριση </w:t>
      </w:r>
      <w:r>
        <w:rPr>
          <w:sz w:val="22"/>
          <w:szCs w:val="22"/>
          <w:lang w:val="el-GR"/>
        </w:rPr>
        <w:t>οδηγεί στο συμπέρασμα</w:t>
      </w:r>
      <w:r w:rsidRPr="007968A7">
        <w:rPr>
          <w:sz w:val="22"/>
          <w:szCs w:val="22"/>
          <w:lang w:val="el-GR"/>
        </w:rPr>
        <w:t xml:space="preserve"> ότι το Πλαίσιο Προσόντων του ΕΧΑΕ αντιστοιχεί στα επίπεδα 6, 7 και 8 του Ευρωπαϊκού Πλαισίου Προσόντων Διά Βίου Μάθησης της Ευρωπαϊκής Ένωσης.</w:t>
      </w:r>
    </w:p>
    <w:p w:rsidR="00927F9F" w:rsidRPr="007968A7" w:rsidRDefault="00927F9F" w:rsidP="00927F9F">
      <w:pPr>
        <w:spacing w:line="264" w:lineRule="auto"/>
        <w:jc w:val="both"/>
        <w:rPr>
          <w:sz w:val="22"/>
          <w:szCs w:val="22"/>
          <w:lang w:val="el-GR"/>
        </w:rPr>
      </w:pPr>
      <w:r w:rsidRPr="007968A7">
        <w:rPr>
          <w:sz w:val="22"/>
          <w:szCs w:val="22"/>
          <w:lang w:val="el-GR"/>
        </w:rPr>
        <w:t xml:space="preserve">Επιπλέον, θα πρέπει να ληφθεί υπόψη ότι το Πλαίσιο Προσόντων του ΕΧΑΕ και το Ευρωπαϊκό Πλαίσιο Προσόντων Διά Βίου Μάθησης </w:t>
      </w:r>
      <w:r w:rsidRPr="007968A7">
        <w:rPr>
          <w:b/>
          <w:sz w:val="22"/>
          <w:szCs w:val="22"/>
          <w:u w:val="single"/>
          <w:lang w:val="el-GR"/>
        </w:rPr>
        <w:t>δεν ρυθμίζουν</w:t>
      </w:r>
      <w:r w:rsidRPr="007968A7">
        <w:rPr>
          <w:sz w:val="22"/>
          <w:szCs w:val="22"/>
          <w:lang w:val="el-GR"/>
        </w:rPr>
        <w:t xml:space="preserve"> ζητήματα που αφορούν στα επαγγελματικά δικαιώματα των αποφοίτων της ανώτατης εκπαίδευσης στις χώρες της Ευρωπαϊκής Ένωσης.  Όπως είναι γνωστό, τα επαγγελματικά δικαιώματα των κατόχων τίτλων σπουδών ανώτατης εκπαίδευσης ρυθμίζονται και κατοχυρώνονται με την Οδηγία 36/2005 της Ευρωπαϊκής Ένωσης και αφορά μόνο τα κράτη-μέλη της.</w:t>
      </w:r>
    </w:p>
    <w:p w:rsidR="00927F9F" w:rsidRDefault="00927F9F" w:rsidP="00927F9F">
      <w:pPr>
        <w:rPr>
          <w:u w:val="single"/>
          <w:lang w:val="el-GR"/>
        </w:rPr>
      </w:pPr>
    </w:p>
    <w:p w:rsidR="00927F9F" w:rsidRDefault="00927F9F" w:rsidP="00927F9F">
      <w:pPr>
        <w:rPr>
          <w:u w:val="single"/>
          <w:lang w:val="el-GR"/>
        </w:rPr>
      </w:pPr>
    </w:p>
    <w:p w:rsidR="00927F9F" w:rsidRPr="007568E0" w:rsidRDefault="00927F9F" w:rsidP="00927F9F">
      <w:pPr>
        <w:ind w:left="-567" w:right="-284"/>
        <w:rPr>
          <w:rFonts w:ascii="Calibri" w:hAnsi="Calibri"/>
          <w:b/>
          <w:i/>
          <w:sz w:val="22"/>
          <w:szCs w:val="22"/>
          <w:lang w:val="el-GR"/>
        </w:rPr>
      </w:pPr>
      <w:r w:rsidRPr="007568E0">
        <w:rPr>
          <w:rFonts w:ascii="Calibri" w:hAnsi="Calibri"/>
          <w:b/>
          <w:i/>
          <w:sz w:val="22"/>
          <w:szCs w:val="22"/>
          <w:lang w:val="el-GR"/>
        </w:rPr>
        <w:t>Πίνακας Α.1 Περιγραφή των κύκλων σπουδών του Ευρωπαϊκού Χώρου Ανώτατης Εκπαίδευσης</w:t>
      </w:r>
    </w:p>
    <w:p w:rsidR="00927F9F" w:rsidRPr="001F07EB" w:rsidRDefault="00927F9F" w:rsidP="00927F9F">
      <w:pPr>
        <w:pStyle w:val="a3"/>
        <w:jc w:val="both"/>
        <w:rPr>
          <w:sz w:val="24"/>
          <w:szCs w:val="24"/>
        </w:rPr>
      </w:pPr>
    </w:p>
    <w:tbl>
      <w:tblPr>
        <w:tblW w:w="93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254"/>
        <w:gridCol w:w="1510"/>
      </w:tblGrid>
      <w:tr w:rsidR="00927F9F" w:rsidRPr="001F07EB" w:rsidTr="008734E5">
        <w:trPr>
          <w:trHeight w:val="140"/>
        </w:trPr>
        <w:tc>
          <w:tcPr>
            <w:tcW w:w="1233" w:type="dxa"/>
            <w:vAlign w:val="center"/>
          </w:tcPr>
          <w:p w:rsidR="00927F9F" w:rsidRPr="001F07EB" w:rsidRDefault="00927F9F" w:rsidP="008734E5">
            <w:pPr>
              <w:pStyle w:val="a3"/>
              <w:spacing w:after="0" w:line="264" w:lineRule="auto"/>
              <w:ind w:left="0"/>
              <w:jc w:val="center"/>
              <w:rPr>
                <w:b/>
                <w:sz w:val="24"/>
                <w:szCs w:val="24"/>
              </w:rPr>
            </w:pPr>
            <w:r w:rsidRPr="001F07EB">
              <w:rPr>
                <w:b/>
                <w:sz w:val="24"/>
                <w:szCs w:val="24"/>
              </w:rPr>
              <w:t>Κύκλοι Σπουδών</w:t>
            </w:r>
          </w:p>
        </w:tc>
        <w:tc>
          <w:tcPr>
            <w:tcW w:w="6750" w:type="dxa"/>
            <w:vAlign w:val="center"/>
          </w:tcPr>
          <w:p w:rsidR="00927F9F" w:rsidRPr="001F07EB" w:rsidRDefault="00927F9F" w:rsidP="008734E5">
            <w:pPr>
              <w:pStyle w:val="a3"/>
              <w:tabs>
                <w:tab w:val="center" w:pos="3174"/>
                <w:tab w:val="right" w:pos="6348"/>
              </w:tabs>
              <w:spacing w:after="0" w:line="264" w:lineRule="auto"/>
              <w:ind w:left="0"/>
              <w:jc w:val="center"/>
              <w:rPr>
                <w:b/>
                <w:sz w:val="24"/>
                <w:szCs w:val="24"/>
              </w:rPr>
            </w:pPr>
            <w:r w:rsidRPr="001F07EB">
              <w:rPr>
                <w:b/>
                <w:sz w:val="24"/>
                <w:szCs w:val="24"/>
              </w:rPr>
              <w:t>Μαθησιακά Αποτελέσματα</w:t>
            </w:r>
          </w:p>
        </w:tc>
        <w:tc>
          <w:tcPr>
            <w:tcW w:w="1391" w:type="dxa"/>
            <w:vAlign w:val="center"/>
          </w:tcPr>
          <w:p w:rsidR="00927F9F" w:rsidRPr="00F16B5A" w:rsidRDefault="00927F9F" w:rsidP="008734E5">
            <w:pPr>
              <w:pStyle w:val="a3"/>
              <w:spacing w:after="0" w:line="264" w:lineRule="auto"/>
              <w:ind w:left="0"/>
              <w:jc w:val="center"/>
              <w:rPr>
                <w:b/>
              </w:rPr>
            </w:pPr>
            <w:r w:rsidRPr="00F16B5A">
              <w:rPr>
                <w:b/>
              </w:rPr>
              <w:t>Πιστωτικές Μονάδες (Ε</w:t>
            </w:r>
            <w:r w:rsidRPr="00F16B5A">
              <w:rPr>
                <w:b/>
                <w:lang w:val="en-US"/>
              </w:rPr>
              <w:t>CTS</w:t>
            </w:r>
            <w:r w:rsidRPr="00F16B5A">
              <w:rPr>
                <w:b/>
              </w:rPr>
              <w:t>)</w:t>
            </w:r>
          </w:p>
        </w:tc>
      </w:tr>
      <w:tr w:rsidR="00927F9F" w:rsidRPr="001F07EB" w:rsidTr="008734E5">
        <w:trPr>
          <w:trHeight w:val="3787"/>
        </w:trPr>
        <w:tc>
          <w:tcPr>
            <w:tcW w:w="1233" w:type="dxa"/>
          </w:tcPr>
          <w:p w:rsidR="00927F9F" w:rsidRPr="007568E0" w:rsidRDefault="00927F9F" w:rsidP="008734E5">
            <w:pPr>
              <w:pStyle w:val="a3"/>
              <w:spacing w:after="0" w:line="264" w:lineRule="auto"/>
              <w:ind w:left="0"/>
              <w:jc w:val="center"/>
            </w:pPr>
            <w:r w:rsidRPr="007568E0">
              <w:t>Προσόντα 1</w:t>
            </w:r>
            <w:r w:rsidRPr="007568E0">
              <w:rPr>
                <w:vertAlign w:val="superscript"/>
              </w:rPr>
              <w:t>ου</w:t>
            </w:r>
            <w:r w:rsidRPr="007568E0">
              <w:t xml:space="preserve"> Κύκλου</w:t>
            </w:r>
          </w:p>
          <w:p w:rsidR="00927F9F" w:rsidRPr="007568E0" w:rsidRDefault="00927F9F" w:rsidP="008734E5">
            <w:pPr>
              <w:pStyle w:val="a3"/>
              <w:spacing w:after="0" w:line="264" w:lineRule="auto"/>
              <w:ind w:left="0"/>
              <w:jc w:val="center"/>
            </w:pPr>
          </w:p>
          <w:p w:rsidR="00927F9F" w:rsidRPr="001F07EB" w:rsidRDefault="00927F9F" w:rsidP="008734E5">
            <w:pPr>
              <w:pStyle w:val="a3"/>
              <w:spacing w:after="0" w:line="264" w:lineRule="auto"/>
              <w:ind w:left="0"/>
              <w:jc w:val="center"/>
              <w:rPr>
                <w:sz w:val="24"/>
                <w:szCs w:val="24"/>
              </w:rPr>
            </w:pPr>
            <w:r w:rsidRPr="007568E0">
              <w:t>Προπτυχιακές Σπουδές</w:t>
            </w:r>
          </w:p>
        </w:tc>
        <w:tc>
          <w:tcPr>
            <w:tcW w:w="6750" w:type="dxa"/>
          </w:tcPr>
          <w:p w:rsidR="00927F9F" w:rsidRPr="001F07EB" w:rsidRDefault="00927F9F" w:rsidP="008734E5">
            <w:pPr>
              <w:pStyle w:val="a3"/>
              <w:spacing w:after="0" w:line="264" w:lineRule="auto"/>
              <w:ind w:left="0"/>
            </w:pPr>
            <w:r w:rsidRPr="001F07EB">
              <w:t xml:space="preserve">Προσόντα του </w:t>
            </w:r>
            <w:r w:rsidRPr="001F07EB">
              <w:rPr>
                <w:b/>
              </w:rPr>
              <w:t>πρώτου κύκλου</w:t>
            </w:r>
            <w:r w:rsidRPr="001F07EB">
              <w:t xml:space="preserve"> σπουδών αναγνωρίζονται σε φοιτητές οι οποίοι:</w:t>
            </w:r>
          </w:p>
          <w:p w:rsidR="00927F9F" w:rsidRPr="001F07EB" w:rsidRDefault="00927F9F" w:rsidP="00927F9F">
            <w:pPr>
              <w:pStyle w:val="a3"/>
              <w:numPr>
                <w:ilvl w:val="0"/>
                <w:numId w:val="2"/>
              </w:numPr>
              <w:spacing w:after="0" w:line="264" w:lineRule="auto"/>
              <w:ind w:left="476"/>
            </w:pPr>
            <w:r w:rsidRPr="001F07EB">
              <w:t>Έχουν αποδεδειγμένη γνώση και κατανόηση θεμάτων σε κάποιο γνωστι</w:t>
            </w:r>
            <w:r>
              <w:t>κό πεδίο, η οποία βασίζεται στη</w:t>
            </w:r>
            <w:r w:rsidRPr="001F07EB">
              <w:t xml:space="preserve"> γενική δευτεροβάθμια εκπαίδευσή τους και, ενώ </w:t>
            </w:r>
            <w:r>
              <w:t xml:space="preserve">υποστηρίζεται από επιστημονικά </w:t>
            </w:r>
            <w:r w:rsidRPr="001F07EB">
              <w:t>εγχειρίδια προχωρημένου επιπέδου, περιλαμβάνει και απόψεις που προκύπτουν από σύγχρονες εξελίξε</w:t>
            </w:r>
            <w:r>
              <w:t xml:space="preserve">ις στην αιχμή του </w:t>
            </w:r>
            <w:r w:rsidRPr="001F07EB">
              <w:t>γνωστικού τους πεδίου.</w:t>
            </w:r>
          </w:p>
          <w:p w:rsidR="00927F9F" w:rsidRPr="001F07EB" w:rsidRDefault="00927F9F" w:rsidP="00927F9F">
            <w:pPr>
              <w:pStyle w:val="a3"/>
              <w:numPr>
                <w:ilvl w:val="0"/>
                <w:numId w:val="2"/>
              </w:numPr>
              <w:spacing w:after="0" w:line="264" w:lineRule="auto"/>
              <w:ind w:left="476"/>
            </w:pPr>
            <w:r w:rsidRPr="001F07EB">
              <w:t>Είναι σε θέση να χρησιμοποιούν τη γνώση και την κατανόηση που απέκτησαν με τρόπο που δείχνει επαγγελματική προσέγγιση της εργασίας ή του επαγγέλματός τους και διαθέτουν ικανότητες που κατά κανόνα αποδεικνύονται με την ανάπτυξη και υποστήριξη επιχειρημάτων και την επίλυση προβλημάτων στο πλαίσιο του γνωστικού τους πεδίου.</w:t>
            </w:r>
          </w:p>
          <w:p w:rsidR="00927F9F" w:rsidRPr="001F07EB" w:rsidRDefault="00927F9F" w:rsidP="00927F9F">
            <w:pPr>
              <w:pStyle w:val="a3"/>
              <w:numPr>
                <w:ilvl w:val="0"/>
                <w:numId w:val="2"/>
              </w:numPr>
              <w:spacing w:after="0" w:line="264" w:lineRule="auto"/>
              <w:ind w:left="476"/>
            </w:pPr>
            <w:r w:rsidRPr="001F07EB">
              <w:t>Έχουν την ικανότητα να συγκεντρώνουν και να ερμηνεύουν συναφή στοιχεία (κατά κανόνα εντός του γνωστικού τους πεδίου) για να διαμορφώνουν κρίσεις που περιλαμβάνουν προβληματισμό σε συναφή κοινωνικά, επιστημονικά ή ηθικά ζητήματα.</w:t>
            </w:r>
          </w:p>
          <w:p w:rsidR="00927F9F" w:rsidRPr="001F07EB" w:rsidRDefault="00927F9F" w:rsidP="00927F9F">
            <w:pPr>
              <w:pStyle w:val="a3"/>
              <w:numPr>
                <w:ilvl w:val="0"/>
                <w:numId w:val="2"/>
              </w:numPr>
              <w:spacing w:after="0" w:line="264" w:lineRule="auto"/>
              <w:ind w:left="476"/>
            </w:pPr>
            <w:r w:rsidRPr="001F07EB">
              <w:t>Είναι σε θέση να κοινοποιούν πληροφορίες, ιδέες, προβλήματα και λύσεις τόσο σε ειδικευμένο όσο και σε μη-εξειδικευμένο κοινό.</w:t>
            </w:r>
          </w:p>
          <w:p w:rsidR="00927F9F" w:rsidRPr="001F07EB" w:rsidRDefault="00927F9F" w:rsidP="00927F9F">
            <w:pPr>
              <w:pStyle w:val="a3"/>
              <w:numPr>
                <w:ilvl w:val="0"/>
                <w:numId w:val="2"/>
              </w:numPr>
              <w:spacing w:after="0" w:line="264" w:lineRule="auto"/>
              <w:ind w:left="476"/>
            </w:pPr>
            <w:r w:rsidRPr="001F07EB">
              <w:t xml:space="preserve">Έχουν αναπτύξει εκείνες τις δεξιότητες απόκτησης γνώσεων, που τους χρειάζονται για να συνεχίσουν σε περαιτέρω σπουδές με μεγάλο βαθμό αυτονομίας. </w:t>
            </w:r>
          </w:p>
        </w:tc>
        <w:tc>
          <w:tcPr>
            <w:tcW w:w="1391" w:type="dxa"/>
          </w:tcPr>
          <w:p w:rsidR="00927F9F" w:rsidRPr="00F16B5A" w:rsidRDefault="00927F9F" w:rsidP="008734E5">
            <w:pPr>
              <w:pStyle w:val="a3"/>
              <w:spacing w:after="0" w:line="264" w:lineRule="auto"/>
              <w:ind w:left="0"/>
              <w:jc w:val="center"/>
            </w:pPr>
            <w:r w:rsidRPr="00F16B5A">
              <w:t>Κατά κανόνα 240-300 Πιστωτικές Μονάδες</w:t>
            </w:r>
          </w:p>
        </w:tc>
      </w:tr>
      <w:tr w:rsidR="00927F9F" w:rsidRPr="00927F9F" w:rsidTr="008734E5">
        <w:trPr>
          <w:trHeight w:val="9334"/>
        </w:trPr>
        <w:tc>
          <w:tcPr>
            <w:tcW w:w="1233" w:type="dxa"/>
          </w:tcPr>
          <w:p w:rsidR="00927F9F" w:rsidRPr="007568E0" w:rsidRDefault="00927F9F" w:rsidP="008734E5">
            <w:pPr>
              <w:pStyle w:val="a3"/>
              <w:spacing w:after="0" w:line="264" w:lineRule="auto"/>
              <w:ind w:left="0"/>
              <w:jc w:val="center"/>
              <w:rPr>
                <w:szCs w:val="24"/>
              </w:rPr>
            </w:pPr>
            <w:r w:rsidRPr="007568E0">
              <w:rPr>
                <w:szCs w:val="24"/>
              </w:rPr>
              <w:lastRenderedPageBreak/>
              <w:t>Προσόντα 2</w:t>
            </w:r>
            <w:r w:rsidRPr="007568E0">
              <w:rPr>
                <w:szCs w:val="24"/>
                <w:vertAlign w:val="superscript"/>
              </w:rPr>
              <w:t>ου</w:t>
            </w:r>
          </w:p>
          <w:p w:rsidR="00927F9F" w:rsidRPr="007568E0" w:rsidRDefault="00927F9F" w:rsidP="008734E5">
            <w:pPr>
              <w:pStyle w:val="a3"/>
              <w:spacing w:after="0" w:line="264" w:lineRule="auto"/>
              <w:ind w:left="0"/>
              <w:jc w:val="center"/>
              <w:rPr>
                <w:szCs w:val="24"/>
              </w:rPr>
            </w:pPr>
            <w:r w:rsidRPr="007568E0">
              <w:rPr>
                <w:szCs w:val="24"/>
              </w:rPr>
              <w:t>Κύκλου</w:t>
            </w:r>
          </w:p>
          <w:p w:rsidR="00927F9F" w:rsidRPr="001F07EB" w:rsidRDefault="00927F9F" w:rsidP="008734E5">
            <w:pPr>
              <w:pStyle w:val="a3"/>
              <w:spacing w:after="0" w:line="264" w:lineRule="auto"/>
              <w:ind w:left="0"/>
              <w:jc w:val="center"/>
              <w:rPr>
                <w:sz w:val="24"/>
                <w:szCs w:val="24"/>
              </w:rPr>
            </w:pPr>
            <w:r w:rsidRPr="007568E0">
              <w:rPr>
                <w:szCs w:val="24"/>
              </w:rPr>
              <w:t>Μεταπτυχιακές Σπουδές</w:t>
            </w:r>
          </w:p>
        </w:tc>
        <w:tc>
          <w:tcPr>
            <w:tcW w:w="6750" w:type="dxa"/>
          </w:tcPr>
          <w:p w:rsidR="00927F9F" w:rsidRPr="001F07EB" w:rsidRDefault="00927F9F" w:rsidP="008734E5">
            <w:pPr>
              <w:pStyle w:val="a3"/>
              <w:spacing w:after="0" w:line="264" w:lineRule="auto"/>
              <w:ind w:left="0"/>
            </w:pPr>
            <w:r w:rsidRPr="001F07EB">
              <w:t xml:space="preserve">Προσόντα του </w:t>
            </w:r>
            <w:r w:rsidRPr="001F07EB">
              <w:rPr>
                <w:b/>
              </w:rPr>
              <w:t>δεύτερου κύκλου</w:t>
            </w:r>
            <w:r w:rsidRPr="001F07EB">
              <w:t xml:space="preserve"> σπουδών αναγνωρίζονται σε φοιτητές οι οποίοι:</w:t>
            </w:r>
          </w:p>
          <w:p w:rsidR="00927F9F" w:rsidRPr="001F07EB" w:rsidRDefault="00927F9F" w:rsidP="00927F9F">
            <w:pPr>
              <w:pStyle w:val="a3"/>
              <w:numPr>
                <w:ilvl w:val="0"/>
                <w:numId w:val="1"/>
              </w:numPr>
              <w:tabs>
                <w:tab w:val="clear" w:pos="720"/>
                <w:tab w:val="num" w:pos="476"/>
              </w:tabs>
              <w:spacing w:after="0" w:line="264" w:lineRule="auto"/>
              <w:ind w:left="476"/>
            </w:pPr>
            <w:r w:rsidRPr="001F07EB">
              <w:t>Έχουν αποδεδειγμένη γνώση και κατανόηση που βασίζεται και εκτείνεται και/ή ενισχύει όσα σχετίζονται με τον πρώτο κύκλο σπουδών, και, συγχρόνως, τους παρέχει τη βάση ή την ευκαιρία για πρωτοτυπία στην ανάπτυξη και/ή στην εφαρμογή ιδεών, συχνά στο πλαίσιο ερευνητικής δραστηριότητας.</w:t>
            </w:r>
          </w:p>
          <w:p w:rsidR="00927F9F" w:rsidRPr="001F07EB" w:rsidRDefault="00927F9F" w:rsidP="00927F9F">
            <w:pPr>
              <w:pStyle w:val="a3"/>
              <w:numPr>
                <w:ilvl w:val="0"/>
                <w:numId w:val="1"/>
              </w:numPr>
              <w:spacing w:after="0" w:line="264" w:lineRule="auto"/>
              <w:ind w:left="476"/>
            </w:pPr>
            <w:r w:rsidRPr="001F07EB">
              <w:t>Είναι σε θέση να χρησιμοποιούν τη γνώση και κατανόησή τους, και τις ικανότητές τους για επίλυση προβλημάτων σε εφαρμογές και στην επίλυση προβλημάτων, σε ένα νέο ή άγνωστο περιβάλλον, εντός ευρύτερου (ή διεπιστημονικού) πλαισίου, συναφούς προς το γνωστικό τους πεδίο.</w:t>
            </w:r>
          </w:p>
          <w:p w:rsidR="00927F9F" w:rsidRDefault="00927F9F" w:rsidP="00927F9F">
            <w:pPr>
              <w:pStyle w:val="a3"/>
              <w:numPr>
                <w:ilvl w:val="0"/>
                <w:numId w:val="1"/>
              </w:numPr>
              <w:spacing w:after="0" w:line="264" w:lineRule="auto"/>
              <w:ind w:left="476"/>
            </w:pPr>
            <w:r w:rsidRPr="001F07EB">
              <w:t>Έχουν την ικανότητα να συνδυάζουν γνώσεις και να χειρίζονται πολύπλοκα θέματα, καθώς επίσης να διατυπώνουν κρίσεις, έστω και με ελλιπή ή περιορισμένη πληροφόρηση, οι οποίες όμως περιλαμβάνουν προβληματισμό επί κοινωνικών και ηθικών ευθυνών, που συνδέονται με την εφαρμογή τ</w:t>
            </w:r>
            <w:r>
              <w:t>ης γνώσης και των κρίσεων τους.</w:t>
            </w:r>
          </w:p>
          <w:p w:rsidR="00927F9F" w:rsidRPr="001F07EB" w:rsidRDefault="00927F9F" w:rsidP="00927F9F">
            <w:pPr>
              <w:pStyle w:val="a3"/>
              <w:numPr>
                <w:ilvl w:val="0"/>
                <w:numId w:val="1"/>
              </w:numPr>
              <w:spacing w:after="0" w:line="264" w:lineRule="auto"/>
              <w:ind w:left="476"/>
            </w:pPr>
            <w:r w:rsidRPr="001F07EB">
              <w:t>Είναι σε θέση να κοινοποιούν με σαφήνεια και καθαρότητα τα συμπεράσματά τους αλλά και τη γνώση και το σκεπτικό στο οποίο αυτά βασίζονται και λογικές παραδοχές στα οποία στηρίζονται, τόσο σε εξειδικευμένο όσο και σε μη εξειδικευμένο κοινό.</w:t>
            </w:r>
          </w:p>
          <w:p w:rsidR="00927F9F" w:rsidRPr="001F07EB" w:rsidRDefault="00927F9F" w:rsidP="00927F9F">
            <w:pPr>
              <w:pStyle w:val="a3"/>
              <w:numPr>
                <w:ilvl w:val="0"/>
                <w:numId w:val="1"/>
              </w:numPr>
              <w:spacing w:after="0" w:line="264" w:lineRule="auto"/>
              <w:ind w:left="476"/>
            </w:pPr>
            <w:r w:rsidRPr="001F07EB">
              <w:t>Διαθέτουν τις απαραίτ</w:t>
            </w:r>
            <w:r>
              <w:t xml:space="preserve">ητες μαθησιακές δεξιότητες που </w:t>
            </w:r>
            <w:r w:rsidRPr="001F07EB">
              <w:t>τους επιτρέπουν να συνεχίσο</w:t>
            </w:r>
            <w:r>
              <w:t xml:space="preserve">υν τις σπουδές τους με τρόπο σε </w:t>
            </w:r>
            <w:r w:rsidRPr="001F07EB">
              <w:t>μεγάλο βαθμό αυτοδύναμο ή και αυτόνομο.</w:t>
            </w:r>
          </w:p>
        </w:tc>
        <w:tc>
          <w:tcPr>
            <w:tcW w:w="1391" w:type="dxa"/>
          </w:tcPr>
          <w:p w:rsidR="00927F9F" w:rsidRPr="00F16B5A" w:rsidRDefault="00927F9F" w:rsidP="008734E5">
            <w:pPr>
              <w:pStyle w:val="a3"/>
              <w:spacing w:after="0" w:line="264" w:lineRule="auto"/>
              <w:ind w:left="0"/>
              <w:jc w:val="center"/>
            </w:pPr>
            <w:r w:rsidRPr="00F16B5A">
              <w:t>Συνήθως 90-120 πιστωτικές μονάδες, με 60 κατ’ ελάχιστον μονάδες στο επίπεδο του δεύτερου κύκλου.</w:t>
            </w:r>
          </w:p>
        </w:tc>
      </w:tr>
      <w:tr w:rsidR="00927F9F" w:rsidRPr="001F07EB" w:rsidTr="008734E5">
        <w:trPr>
          <w:trHeight w:val="7802"/>
        </w:trPr>
        <w:tc>
          <w:tcPr>
            <w:tcW w:w="1233" w:type="dxa"/>
          </w:tcPr>
          <w:p w:rsidR="00927F9F" w:rsidRPr="007568E0" w:rsidRDefault="00927F9F" w:rsidP="008734E5">
            <w:pPr>
              <w:pStyle w:val="a3"/>
              <w:spacing w:after="0" w:line="264" w:lineRule="auto"/>
              <w:ind w:left="0"/>
              <w:jc w:val="center"/>
              <w:rPr>
                <w:szCs w:val="24"/>
              </w:rPr>
            </w:pPr>
            <w:r w:rsidRPr="007568E0">
              <w:rPr>
                <w:szCs w:val="24"/>
              </w:rPr>
              <w:lastRenderedPageBreak/>
              <w:t xml:space="preserve">Σπουδές </w:t>
            </w:r>
          </w:p>
          <w:p w:rsidR="00927F9F" w:rsidRPr="007568E0" w:rsidRDefault="00927F9F" w:rsidP="008734E5">
            <w:pPr>
              <w:pStyle w:val="a3"/>
              <w:spacing w:after="0" w:line="264" w:lineRule="auto"/>
              <w:ind w:left="0"/>
              <w:jc w:val="center"/>
              <w:rPr>
                <w:szCs w:val="24"/>
              </w:rPr>
            </w:pPr>
            <w:r w:rsidRPr="007568E0">
              <w:rPr>
                <w:szCs w:val="24"/>
              </w:rPr>
              <w:t>3</w:t>
            </w:r>
            <w:r w:rsidRPr="007568E0">
              <w:rPr>
                <w:szCs w:val="24"/>
                <w:vertAlign w:val="superscript"/>
              </w:rPr>
              <w:t>ου</w:t>
            </w:r>
          </w:p>
          <w:p w:rsidR="00927F9F" w:rsidRPr="007568E0" w:rsidRDefault="00927F9F" w:rsidP="008734E5">
            <w:pPr>
              <w:pStyle w:val="a3"/>
              <w:spacing w:after="0" w:line="264" w:lineRule="auto"/>
              <w:ind w:left="0"/>
              <w:jc w:val="center"/>
              <w:rPr>
                <w:szCs w:val="24"/>
              </w:rPr>
            </w:pPr>
            <w:r w:rsidRPr="007568E0">
              <w:rPr>
                <w:szCs w:val="24"/>
              </w:rPr>
              <w:t>Κύκλου</w:t>
            </w:r>
          </w:p>
          <w:p w:rsidR="00927F9F" w:rsidRPr="007568E0" w:rsidRDefault="00927F9F" w:rsidP="008734E5">
            <w:pPr>
              <w:pStyle w:val="a3"/>
              <w:spacing w:after="0" w:line="264" w:lineRule="auto"/>
              <w:ind w:left="0"/>
              <w:jc w:val="center"/>
              <w:rPr>
                <w:szCs w:val="24"/>
              </w:rPr>
            </w:pPr>
          </w:p>
          <w:p w:rsidR="00927F9F" w:rsidRPr="001F07EB" w:rsidRDefault="00927F9F" w:rsidP="008734E5">
            <w:pPr>
              <w:pStyle w:val="a3"/>
              <w:spacing w:after="0" w:line="264" w:lineRule="auto"/>
              <w:ind w:left="0"/>
              <w:jc w:val="center"/>
              <w:rPr>
                <w:sz w:val="24"/>
                <w:szCs w:val="24"/>
              </w:rPr>
            </w:pPr>
            <w:r w:rsidRPr="007568E0">
              <w:rPr>
                <w:szCs w:val="24"/>
              </w:rPr>
              <w:t>Σπουδές που οδηγούν σε Διδακτορικό</w:t>
            </w:r>
          </w:p>
        </w:tc>
        <w:tc>
          <w:tcPr>
            <w:tcW w:w="6750" w:type="dxa"/>
          </w:tcPr>
          <w:p w:rsidR="00927F9F" w:rsidRPr="001F07EB" w:rsidRDefault="00927F9F" w:rsidP="008734E5">
            <w:pPr>
              <w:pStyle w:val="a3"/>
              <w:spacing w:after="0" w:line="264" w:lineRule="auto"/>
              <w:ind w:left="0"/>
            </w:pPr>
            <w:r w:rsidRPr="001F07EB">
              <w:t xml:space="preserve">Προσόντα του </w:t>
            </w:r>
            <w:r w:rsidRPr="001F07EB">
              <w:rPr>
                <w:b/>
              </w:rPr>
              <w:t>τρίτου κύκλου</w:t>
            </w:r>
            <w:r w:rsidRPr="001F07EB">
              <w:t xml:space="preserve"> σπουδών αναγνωρίζονται σε φοιτητές οι οποίοι:</w:t>
            </w:r>
          </w:p>
          <w:p w:rsidR="00927F9F" w:rsidRPr="001F07EB" w:rsidRDefault="00927F9F" w:rsidP="00927F9F">
            <w:pPr>
              <w:pStyle w:val="a3"/>
              <w:numPr>
                <w:ilvl w:val="0"/>
                <w:numId w:val="3"/>
              </w:numPr>
              <w:spacing w:after="0" w:line="264" w:lineRule="auto"/>
              <w:ind w:left="476"/>
            </w:pPr>
            <w:r w:rsidRPr="001F07EB">
              <w:t>Έχουν αποδεδειγμένα συστηματική κατανόηση ενός γνωστικού πεδίου και πλήρη επάρκεια των δεξιοτήτων και μεθόδων έρευνας που συνδέονται με το συγκεκριμένο πεδίο.</w:t>
            </w:r>
          </w:p>
          <w:p w:rsidR="00927F9F" w:rsidRPr="001F07EB" w:rsidRDefault="00927F9F" w:rsidP="00927F9F">
            <w:pPr>
              <w:pStyle w:val="a3"/>
              <w:numPr>
                <w:ilvl w:val="0"/>
                <w:numId w:val="3"/>
              </w:numPr>
              <w:spacing w:after="0" w:line="264" w:lineRule="auto"/>
              <w:ind w:left="476"/>
            </w:pPr>
            <w:r w:rsidRPr="001F07EB">
              <w:t>Έχουν αποδείξει την ικανότητα να συλλαμβάνουν, να σχεδιάζουν, να υλοποιούν και να προσαρμόζουν μία ουσιαστική ερευνητική διαδικασία με ακαδημαϊκή ακεραιότητα.</w:t>
            </w:r>
          </w:p>
          <w:p w:rsidR="00927F9F" w:rsidRPr="001F07EB" w:rsidRDefault="00927F9F" w:rsidP="00927F9F">
            <w:pPr>
              <w:pStyle w:val="a3"/>
              <w:numPr>
                <w:ilvl w:val="0"/>
                <w:numId w:val="3"/>
              </w:numPr>
              <w:spacing w:after="0" w:line="264" w:lineRule="auto"/>
              <w:ind w:left="476"/>
            </w:pPr>
            <w:r w:rsidRPr="001F07EB">
              <w:t>Έχουν πραγματοποιήσει κάποια συμβολή με πρωτότυπη έρευνα που διευρύνει τα όρια της γνώσης, αναπτύσσοντας κάποιο σημαντικό όγκο εργασίας, μέρος της οποίας αξίζει να δημοσιευθεί κατόπιν κρίσης σε εθνικό ή διεθνές επίπεδο.</w:t>
            </w:r>
          </w:p>
          <w:p w:rsidR="00927F9F" w:rsidRPr="001F07EB" w:rsidRDefault="00927F9F" w:rsidP="00927F9F">
            <w:pPr>
              <w:pStyle w:val="a3"/>
              <w:numPr>
                <w:ilvl w:val="0"/>
                <w:numId w:val="3"/>
              </w:numPr>
              <w:spacing w:after="0" w:line="264" w:lineRule="auto"/>
              <w:ind w:left="476"/>
            </w:pPr>
            <w:r w:rsidRPr="001F07EB">
              <w:t>Έχουν ικανότητες για κριτική ανάλυση, αξιολόγηση και σύνθεση νέων και πολύπλοκων ιδεών.</w:t>
            </w:r>
          </w:p>
          <w:p w:rsidR="00927F9F" w:rsidRPr="001F07EB" w:rsidRDefault="00927F9F" w:rsidP="00927F9F">
            <w:pPr>
              <w:pStyle w:val="a3"/>
              <w:numPr>
                <w:ilvl w:val="0"/>
                <w:numId w:val="3"/>
              </w:numPr>
              <w:spacing w:after="0" w:line="264" w:lineRule="auto"/>
              <w:ind w:left="476"/>
            </w:pPr>
            <w:r w:rsidRPr="001F07EB">
              <w:t xml:space="preserve">Είναι σε θέση να συνδιαλέγονται με τους ομότεχνούς τους, την ευρύτερη επιστημονική κοινότητα και με την κοινωνία γενικότερα σε θέματα των επιστημονικών τους πεδίων. </w:t>
            </w:r>
          </w:p>
          <w:p w:rsidR="00927F9F" w:rsidRPr="001F07EB" w:rsidRDefault="00927F9F" w:rsidP="00927F9F">
            <w:pPr>
              <w:pStyle w:val="a3"/>
              <w:numPr>
                <w:ilvl w:val="0"/>
                <w:numId w:val="3"/>
              </w:numPr>
              <w:spacing w:after="0" w:line="264" w:lineRule="auto"/>
              <w:ind w:left="476"/>
            </w:pPr>
            <w:r w:rsidRPr="001F07EB">
              <w:t xml:space="preserve">Μπορεί να αναμένεται ότι είναι σε θέση να </w:t>
            </w:r>
            <w:r>
              <w:t>συμβάλλουν</w:t>
            </w:r>
            <w:r w:rsidRPr="001F07EB">
              <w:t>, σε ακαδημαϊκό και επαγγελματικό περιβάλλον, στην προαγωγή της τεχνολογικής, κοινωνικής ή πολιτιστικής προόδου της κοινωνίας της γνώσης.</w:t>
            </w:r>
          </w:p>
          <w:p w:rsidR="00927F9F" w:rsidRPr="001F07EB" w:rsidRDefault="00927F9F" w:rsidP="008734E5">
            <w:pPr>
              <w:pStyle w:val="a3"/>
              <w:spacing w:after="0" w:line="264" w:lineRule="auto"/>
            </w:pPr>
          </w:p>
        </w:tc>
        <w:tc>
          <w:tcPr>
            <w:tcW w:w="1391" w:type="dxa"/>
          </w:tcPr>
          <w:p w:rsidR="00927F9F" w:rsidRPr="00F16B5A" w:rsidRDefault="00927F9F" w:rsidP="008734E5">
            <w:pPr>
              <w:pStyle w:val="a3"/>
              <w:spacing w:after="0" w:line="264" w:lineRule="auto"/>
              <w:ind w:left="0"/>
              <w:jc w:val="center"/>
            </w:pPr>
            <w:r w:rsidRPr="00F16B5A">
              <w:t>Δεν έχει προσδιοριστεί</w:t>
            </w:r>
          </w:p>
        </w:tc>
      </w:tr>
    </w:tbl>
    <w:p w:rsidR="00927F9F" w:rsidRPr="001F07EB" w:rsidRDefault="00927F9F" w:rsidP="00927F9F">
      <w:pPr>
        <w:pStyle w:val="a3"/>
        <w:jc w:val="both"/>
        <w:rPr>
          <w:sz w:val="24"/>
          <w:szCs w:val="24"/>
        </w:rPr>
      </w:pPr>
    </w:p>
    <w:p w:rsidR="00927F9F" w:rsidRDefault="00927F9F" w:rsidP="00927F9F">
      <w:pPr>
        <w:rPr>
          <w:rFonts w:ascii="Cambria" w:hAnsi="Cambria"/>
          <w:i/>
          <w:iCs/>
          <w:sz w:val="20"/>
        </w:rPr>
      </w:pPr>
      <w:r>
        <w:rPr>
          <w:rFonts w:ascii="Cambria" w:hAnsi="Cambria"/>
          <w:i/>
          <w:iCs/>
          <w:sz w:val="20"/>
        </w:rPr>
        <w:br w:type="page"/>
      </w:r>
    </w:p>
    <w:p w:rsidR="00927F9F" w:rsidRPr="007568E0" w:rsidRDefault="00927F9F" w:rsidP="00927F9F">
      <w:pPr>
        <w:autoSpaceDE w:val="0"/>
        <w:autoSpaceDN w:val="0"/>
        <w:adjustRightInd w:val="0"/>
        <w:rPr>
          <w:rFonts w:ascii="Calibri" w:eastAsia="Calibri" w:hAnsi="Calibri" w:cs="Calibri-Bold"/>
          <w:b/>
          <w:bCs/>
          <w:i/>
          <w:sz w:val="22"/>
          <w:szCs w:val="22"/>
          <w:lang w:val="el-GR"/>
        </w:rPr>
      </w:pPr>
      <w:r w:rsidRPr="007568E0">
        <w:rPr>
          <w:rFonts w:ascii="Calibri" w:eastAsia="Calibri" w:hAnsi="Calibri" w:cs="Calibri-Bold"/>
          <w:b/>
          <w:bCs/>
          <w:i/>
          <w:sz w:val="22"/>
          <w:szCs w:val="22"/>
          <w:lang w:val="el-GR"/>
        </w:rPr>
        <w:lastRenderedPageBreak/>
        <w:t>Πίνακας Α.2 Περιγραφικοί Δείκτες Επιπέδων 6, 7 &amp; 8 του Ευρωπαϊκού Πλαισίου Προσόντων Διά Βίου Μάθησης</w:t>
      </w:r>
    </w:p>
    <w:p w:rsidR="00927F9F" w:rsidRPr="006122F8" w:rsidRDefault="00927F9F" w:rsidP="00927F9F">
      <w:pPr>
        <w:autoSpaceDE w:val="0"/>
        <w:autoSpaceDN w:val="0"/>
        <w:adjustRightInd w:val="0"/>
        <w:rPr>
          <w:rFonts w:ascii="Calibri" w:eastAsia="Calibri" w:hAnsi="Calibri" w:cs="Calibri-Bold"/>
          <w:bCs/>
          <w:lang w:val="el-GR"/>
        </w:rPr>
      </w:pPr>
    </w:p>
    <w:tbl>
      <w:tblPr>
        <w:tblStyle w:val="TableGrid1"/>
        <w:tblW w:w="9209" w:type="dxa"/>
        <w:tblLook w:val="04A0" w:firstRow="1" w:lastRow="0" w:firstColumn="1" w:lastColumn="0" w:noHBand="0" w:noVBand="1"/>
      </w:tblPr>
      <w:tblGrid>
        <w:gridCol w:w="3069"/>
        <w:gridCol w:w="3070"/>
        <w:gridCol w:w="3070"/>
      </w:tblGrid>
      <w:tr w:rsidR="00927F9F" w:rsidRPr="006122F8" w:rsidTr="008734E5">
        <w:tc>
          <w:tcPr>
            <w:tcW w:w="3069" w:type="dxa"/>
          </w:tcPr>
          <w:p w:rsidR="00927F9F" w:rsidRPr="006122F8" w:rsidRDefault="00927F9F" w:rsidP="008734E5">
            <w:pPr>
              <w:jc w:val="center"/>
              <w:rPr>
                <w:b/>
                <w:sz w:val="22"/>
                <w:szCs w:val="22"/>
              </w:rPr>
            </w:pPr>
            <w:proofErr w:type="spellStart"/>
            <w:r w:rsidRPr="006122F8">
              <w:rPr>
                <w:b/>
                <w:sz w:val="22"/>
                <w:szCs w:val="22"/>
              </w:rPr>
              <w:t>Γνώσεις</w:t>
            </w:r>
            <w:proofErr w:type="spellEnd"/>
          </w:p>
        </w:tc>
        <w:tc>
          <w:tcPr>
            <w:tcW w:w="3070" w:type="dxa"/>
          </w:tcPr>
          <w:p w:rsidR="00927F9F" w:rsidRPr="006122F8" w:rsidRDefault="00927F9F" w:rsidP="008734E5">
            <w:pPr>
              <w:jc w:val="center"/>
              <w:rPr>
                <w:b/>
                <w:sz w:val="22"/>
                <w:szCs w:val="22"/>
              </w:rPr>
            </w:pPr>
            <w:proofErr w:type="spellStart"/>
            <w:r w:rsidRPr="006122F8">
              <w:rPr>
                <w:b/>
                <w:sz w:val="22"/>
                <w:szCs w:val="22"/>
              </w:rPr>
              <w:t>Δεξιότητες</w:t>
            </w:r>
            <w:proofErr w:type="spellEnd"/>
          </w:p>
        </w:tc>
        <w:tc>
          <w:tcPr>
            <w:tcW w:w="3070" w:type="dxa"/>
          </w:tcPr>
          <w:p w:rsidR="00927F9F" w:rsidRPr="006122F8" w:rsidRDefault="00927F9F" w:rsidP="008734E5">
            <w:pPr>
              <w:jc w:val="center"/>
              <w:rPr>
                <w:b/>
                <w:sz w:val="22"/>
                <w:szCs w:val="22"/>
              </w:rPr>
            </w:pPr>
            <w:proofErr w:type="spellStart"/>
            <w:r w:rsidRPr="006122F8">
              <w:rPr>
                <w:b/>
                <w:sz w:val="22"/>
                <w:szCs w:val="22"/>
              </w:rPr>
              <w:t>Ικ</w:t>
            </w:r>
            <w:proofErr w:type="spellEnd"/>
            <w:r w:rsidRPr="006122F8">
              <w:rPr>
                <w:b/>
                <w:sz w:val="22"/>
                <w:szCs w:val="22"/>
              </w:rPr>
              <w:t>ανότητες</w:t>
            </w:r>
          </w:p>
        </w:tc>
      </w:tr>
      <w:tr w:rsidR="00927F9F" w:rsidRPr="006122F8" w:rsidTr="008734E5">
        <w:tc>
          <w:tcPr>
            <w:tcW w:w="9209" w:type="dxa"/>
            <w:gridSpan w:val="3"/>
            <w:shd w:val="clear" w:color="auto" w:fill="D9D9D9" w:themeFill="background1" w:themeFillShade="D9"/>
          </w:tcPr>
          <w:p w:rsidR="00927F9F" w:rsidRPr="006122F8" w:rsidRDefault="00927F9F" w:rsidP="008734E5">
            <w:pPr>
              <w:jc w:val="center"/>
              <w:rPr>
                <w:sz w:val="22"/>
                <w:szCs w:val="22"/>
              </w:rPr>
            </w:pPr>
            <w:r w:rsidRPr="006122F8">
              <w:rPr>
                <w:sz w:val="22"/>
                <w:szCs w:val="22"/>
              </w:rPr>
              <w:t>Επίπ</w:t>
            </w:r>
            <w:proofErr w:type="spellStart"/>
            <w:r w:rsidRPr="006122F8">
              <w:rPr>
                <w:sz w:val="22"/>
                <w:szCs w:val="22"/>
              </w:rPr>
              <w:t>εδο</w:t>
            </w:r>
            <w:proofErr w:type="spellEnd"/>
            <w:r w:rsidRPr="006122F8">
              <w:rPr>
                <w:sz w:val="22"/>
                <w:szCs w:val="22"/>
              </w:rPr>
              <w:t xml:space="preserve"> 6</w:t>
            </w:r>
            <w:r>
              <w:rPr>
                <w:sz w:val="22"/>
                <w:szCs w:val="22"/>
              </w:rPr>
              <w:t xml:space="preserve"> (1</w:t>
            </w:r>
            <w:r w:rsidRPr="006122F8">
              <w:rPr>
                <w:sz w:val="22"/>
                <w:szCs w:val="22"/>
                <w:vertAlign w:val="superscript"/>
              </w:rPr>
              <w:t>ος</w:t>
            </w:r>
            <w:r>
              <w:rPr>
                <w:sz w:val="22"/>
                <w:szCs w:val="22"/>
              </w:rPr>
              <w:t xml:space="preserve"> </w:t>
            </w:r>
            <w:proofErr w:type="spellStart"/>
            <w:r>
              <w:rPr>
                <w:sz w:val="22"/>
                <w:szCs w:val="22"/>
              </w:rPr>
              <w:t>κύκλος</w:t>
            </w:r>
            <w:proofErr w:type="spellEnd"/>
            <w:r>
              <w:rPr>
                <w:sz w:val="22"/>
                <w:szCs w:val="22"/>
              </w:rPr>
              <w:t xml:space="preserve"> σπ</w:t>
            </w:r>
            <w:proofErr w:type="spellStart"/>
            <w:r>
              <w:rPr>
                <w:sz w:val="22"/>
                <w:szCs w:val="22"/>
              </w:rPr>
              <w:t>ουδών</w:t>
            </w:r>
            <w:proofErr w:type="spellEnd"/>
            <w:r>
              <w:rPr>
                <w:sz w:val="22"/>
                <w:szCs w:val="22"/>
              </w:rPr>
              <w:t>)</w:t>
            </w:r>
          </w:p>
        </w:tc>
      </w:tr>
      <w:tr w:rsidR="00927F9F" w:rsidRPr="00927F9F" w:rsidTr="008734E5">
        <w:tc>
          <w:tcPr>
            <w:tcW w:w="3069" w:type="dxa"/>
          </w:tcPr>
          <w:p w:rsidR="00927F9F" w:rsidRPr="00927F9F" w:rsidRDefault="00927F9F" w:rsidP="008734E5">
            <w:pPr>
              <w:rPr>
                <w:sz w:val="22"/>
                <w:szCs w:val="22"/>
                <w:lang w:val="el-GR"/>
              </w:rPr>
            </w:pPr>
            <w:r w:rsidRPr="00927F9F">
              <w:rPr>
                <w:sz w:val="22"/>
                <w:szCs w:val="22"/>
                <w:lang w:val="el-GR"/>
              </w:rPr>
              <w:t>Διαθέτει προχωρημένες γνώσεις σε ένα πεδίο εργασίας ή σπουδής, οι οποίες συνεπάγονται κριτική κατανόηση θεωριών και αρχών.</w:t>
            </w:r>
          </w:p>
        </w:tc>
        <w:tc>
          <w:tcPr>
            <w:tcW w:w="3070" w:type="dxa"/>
          </w:tcPr>
          <w:p w:rsidR="00927F9F" w:rsidRPr="00927F9F" w:rsidRDefault="00927F9F" w:rsidP="008734E5">
            <w:pPr>
              <w:rPr>
                <w:sz w:val="22"/>
                <w:szCs w:val="22"/>
                <w:lang w:val="el-GR"/>
              </w:rPr>
            </w:pPr>
            <w:r w:rsidRPr="00927F9F">
              <w:rPr>
                <w:sz w:val="22"/>
                <w:szCs w:val="22"/>
                <w:lang w:val="el-GR"/>
              </w:rPr>
              <w:t>Κατέχει προχωρημένες δεξιότητες και έχει τη δυνατότητα να αποδείξει την απαιτούμενη δεξιοτεχνία και καινοτομία για την επίλυση σύνθετων και απρόβλεπτων προβλημάτων σε εξειδικευμένο πεδίο εργασίας ή σπουδής</w:t>
            </w:r>
          </w:p>
        </w:tc>
        <w:tc>
          <w:tcPr>
            <w:tcW w:w="3070" w:type="dxa"/>
          </w:tcPr>
          <w:p w:rsidR="00927F9F" w:rsidRPr="00927F9F" w:rsidRDefault="00927F9F" w:rsidP="008734E5">
            <w:pPr>
              <w:rPr>
                <w:sz w:val="22"/>
                <w:szCs w:val="22"/>
                <w:lang w:val="el-GR"/>
              </w:rPr>
            </w:pPr>
            <w:r w:rsidRPr="00927F9F">
              <w:rPr>
                <w:sz w:val="22"/>
                <w:szCs w:val="22"/>
                <w:lang w:val="el-GR"/>
              </w:rPr>
              <w:t>Μπορεί να διαχειρίζεται σύνθετες τεχνικές ή επαγγελματικές δραστηριότητες ή σχέδια εργασίας, με ανάληψη ευθύνης για τη λήψη αποφάσεων σε απρόβλεπτα περιβάλλοντα εργασίας ή σπουδής. Αναλαμβάνει την ευθύνη για τη διαχείριση της επαγγελματικής ανάπτυξης ατόμων και ομάδων.</w:t>
            </w:r>
          </w:p>
        </w:tc>
      </w:tr>
      <w:tr w:rsidR="00927F9F" w:rsidRPr="006122F8" w:rsidTr="008734E5">
        <w:tc>
          <w:tcPr>
            <w:tcW w:w="9209" w:type="dxa"/>
            <w:gridSpan w:val="3"/>
            <w:shd w:val="clear" w:color="auto" w:fill="D9D9D9" w:themeFill="background1" w:themeFillShade="D9"/>
          </w:tcPr>
          <w:p w:rsidR="00927F9F" w:rsidRPr="006122F8" w:rsidRDefault="00927F9F" w:rsidP="008734E5">
            <w:pPr>
              <w:jc w:val="center"/>
              <w:rPr>
                <w:sz w:val="22"/>
                <w:szCs w:val="22"/>
              </w:rPr>
            </w:pPr>
            <w:r w:rsidRPr="006122F8">
              <w:rPr>
                <w:sz w:val="22"/>
                <w:szCs w:val="22"/>
              </w:rPr>
              <w:t>Επίπ</w:t>
            </w:r>
            <w:proofErr w:type="spellStart"/>
            <w:r w:rsidRPr="006122F8">
              <w:rPr>
                <w:sz w:val="22"/>
                <w:szCs w:val="22"/>
              </w:rPr>
              <w:t>εδο</w:t>
            </w:r>
            <w:proofErr w:type="spellEnd"/>
            <w:r w:rsidRPr="006122F8">
              <w:rPr>
                <w:sz w:val="22"/>
                <w:szCs w:val="22"/>
              </w:rPr>
              <w:t xml:space="preserve"> 7</w:t>
            </w:r>
            <w:r>
              <w:rPr>
                <w:sz w:val="22"/>
                <w:szCs w:val="22"/>
              </w:rPr>
              <w:t xml:space="preserve"> (2</w:t>
            </w:r>
            <w:r w:rsidRPr="006122F8">
              <w:rPr>
                <w:sz w:val="22"/>
                <w:szCs w:val="22"/>
                <w:vertAlign w:val="superscript"/>
              </w:rPr>
              <w:t>ος</w:t>
            </w:r>
            <w:r>
              <w:rPr>
                <w:sz w:val="22"/>
                <w:szCs w:val="22"/>
              </w:rPr>
              <w:t xml:space="preserve"> </w:t>
            </w:r>
            <w:proofErr w:type="spellStart"/>
            <w:r>
              <w:rPr>
                <w:sz w:val="22"/>
                <w:szCs w:val="22"/>
              </w:rPr>
              <w:t>κύκλος</w:t>
            </w:r>
            <w:proofErr w:type="spellEnd"/>
            <w:r>
              <w:rPr>
                <w:sz w:val="22"/>
                <w:szCs w:val="22"/>
              </w:rPr>
              <w:t xml:space="preserve"> σπ</w:t>
            </w:r>
            <w:proofErr w:type="spellStart"/>
            <w:r>
              <w:rPr>
                <w:sz w:val="22"/>
                <w:szCs w:val="22"/>
              </w:rPr>
              <w:t>ουδών</w:t>
            </w:r>
            <w:proofErr w:type="spellEnd"/>
            <w:r>
              <w:rPr>
                <w:sz w:val="22"/>
                <w:szCs w:val="22"/>
              </w:rPr>
              <w:t>)</w:t>
            </w:r>
          </w:p>
        </w:tc>
      </w:tr>
      <w:tr w:rsidR="00927F9F" w:rsidRPr="00927F9F" w:rsidTr="008734E5">
        <w:tc>
          <w:tcPr>
            <w:tcW w:w="3069" w:type="dxa"/>
          </w:tcPr>
          <w:p w:rsidR="00927F9F" w:rsidRPr="00927F9F" w:rsidRDefault="00927F9F" w:rsidP="008734E5">
            <w:pPr>
              <w:rPr>
                <w:sz w:val="22"/>
                <w:szCs w:val="22"/>
                <w:lang w:val="el-GR"/>
              </w:rPr>
            </w:pPr>
            <w:r w:rsidRPr="00927F9F">
              <w:rPr>
                <w:sz w:val="22"/>
                <w:szCs w:val="22"/>
                <w:lang w:val="el-GR"/>
              </w:rPr>
              <w:t>Διαθέτει πολύ εξειδικευμένες γνώσεις, μερικές από τις οποίες είναι γνώσεις αιχμής σε ένα πεδίο εργασίας ή σπουδής και που αποτελούν τη βάση για πρωτότυπη σκέψη. Διαθέτει κριτική επίγνωση των ζητημάτων γνώσης σε ένα πεδίο και στη διασύνδεσή του με διαφορετικά πεδία.</w:t>
            </w:r>
          </w:p>
        </w:tc>
        <w:tc>
          <w:tcPr>
            <w:tcW w:w="3070" w:type="dxa"/>
          </w:tcPr>
          <w:p w:rsidR="00927F9F" w:rsidRPr="00927F9F" w:rsidRDefault="00927F9F" w:rsidP="008734E5">
            <w:pPr>
              <w:rPr>
                <w:sz w:val="22"/>
                <w:szCs w:val="22"/>
                <w:lang w:val="el-GR"/>
              </w:rPr>
            </w:pPr>
            <w:r w:rsidRPr="00927F9F">
              <w:rPr>
                <w:sz w:val="22"/>
                <w:szCs w:val="22"/>
                <w:lang w:val="el-GR"/>
              </w:rPr>
              <w:t>Κατέχει εξειδικευμένες δεξιότητες επίλυσης προβλημάτων, οι οποίες απαιτούνται στην έρευνα ή/και στην καινοτομία προκειμένου να αναπτυχθούν νέες γνώσεις και διαδικασίες και να ενσωματωθούν γνώσεις από διαφορετικά πεδία.</w:t>
            </w:r>
          </w:p>
        </w:tc>
        <w:tc>
          <w:tcPr>
            <w:tcW w:w="3070" w:type="dxa"/>
          </w:tcPr>
          <w:p w:rsidR="00927F9F" w:rsidRPr="00927F9F" w:rsidRDefault="00927F9F" w:rsidP="008734E5">
            <w:pPr>
              <w:rPr>
                <w:sz w:val="22"/>
                <w:szCs w:val="22"/>
                <w:lang w:val="el-GR"/>
              </w:rPr>
            </w:pPr>
            <w:r w:rsidRPr="00927F9F">
              <w:rPr>
                <w:sz w:val="22"/>
                <w:szCs w:val="22"/>
                <w:lang w:val="el-GR"/>
              </w:rPr>
              <w:t>Μπορεί να διαχειρίζεται και μετασχηματίζει περιβάλλοντα εργασίας ή σπουδής που είναι σύνθετα, απρόβλεπτα και απαιτούν νέες στρατηγικές προσεγγίσεις. Αναλαμβάνει την ευθύνη για τη συνεισφορά στις επαγγελματικές γνώσεις και πρακτικές ή/και για την αξιολόγηση της στρατηγικής απόδοσης ομάδων.</w:t>
            </w:r>
          </w:p>
        </w:tc>
      </w:tr>
      <w:tr w:rsidR="00927F9F" w:rsidRPr="006122F8" w:rsidTr="008734E5">
        <w:tc>
          <w:tcPr>
            <w:tcW w:w="9209" w:type="dxa"/>
            <w:gridSpan w:val="3"/>
            <w:shd w:val="clear" w:color="auto" w:fill="D9D9D9" w:themeFill="background1" w:themeFillShade="D9"/>
          </w:tcPr>
          <w:p w:rsidR="00927F9F" w:rsidRPr="006122F8" w:rsidRDefault="00927F9F" w:rsidP="008734E5">
            <w:pPr>
              <w:jc w:val="center"/>
              <w:rPr>
                <w:sz w:val="22"/>
                <w:szCs w:val="22"/>
              </w:rPr>
            </w:pPr>
            <w:r w:rsidRPr="006122F8">
              <w:rPr>
                <w:sz w:val="22"/>
                <w:szCs w:val="22"/>
              </w:rPr>
              <w:t>Επίπ</w:t>
            </w:r>
            <w:proofErr w:type="spellStart"/>
            <w:r w:rsidRPr="006122F8">
              <w:rPr>
                <w:sz w:val="22"/>
                <w:szCs w:val="22"/>
              </w:rPr>
              <w:t>εδο</w:t>
            </w:r>
            <w:proofErr w:type="spellEnd"/>
            <w:r w:rsidRPr="006122F8">
              <w:rPr>
                <w:sz w:val="22"/>
                <w:szCs w:val="22"/>
              </w:rPr>
              <w:t xml:space="preserve"> 8</w:t>
            </w:r>
            <w:r>
              <w:rPr>
                <w:sz w:val="22"/>
                <w:szCs w:val="22"/>
              </w:rPr>
              <w:t xml:space="preserve"> (3</w:t>
            </w:r>
            <w:r w:rsidRPr="006122F8">
              <w:rPr>
                <w:sz w:val="22"/>
                <w:szCs w:val="22"/>
                <w:vertAlign w:val="superscript"/>
              </w:rPr>
              <w:t>ος</w:t>
            </w:r>
            <w:r>
              <w:rPr>
                <w:sz w:val="22"/>
                <w:szCs w:val="22"/>
              </w:rPr>
              <w:t xml:space="preserve"> </w:t>
            </w:r>
            <w:proofErr w:type="spellStart"/>
            <w:r>
              <w:rPr>
                <w:sz w:val="22"/>
                <w:szCs w:val="22"/>
              </w:rPr>
              <w:t>κύκλος</w:t>
            </w:r>
            <w:proofErr w:type="spellEnd"/>
            <w:r>
              <w:rPr>
                <w:sz w:val="22"/>
                <w:szCs w:val="22"/>
              </w:rPr>
              <w:t xml:space="preserve"> σπ</w:t>
            </w:r>
            <w:proofErr w:type="spellStart"/>
            <w:r>
              <w:rPr>
                <w:sz w:val="22"/>
                <w:szCs w:val="22"/>
              </w:rPr>
              <w:t>ουδών</w:t>
            </w:r>
            <w:proofErr w:type="spellEnd"/>
            <w:r>
              <w:rPr>
                <w:sz w:val="22"/>
                <w:szCs w:val="22"/>
              </w:rPr>
              <w:t>)</w:t>
            </w:r>
          </w:p>
        </w:tc>
      </w:tr>
      <w:tr w:rsidR="00927F9F" w:rsidRPr="00927F9F" w:rsidTr="008734E5">
        <w:tc>
          <w:tcPr>
            <w:tcW w:w="3069" w:type="dxa"/>
          </w:tcPr>
          <w:p w:rsidR="00927F9F" w:rsidRPr="00927F9F" w:rsidRDefault="00927F9F" w:rsidP="008734E5">
            <w:pPr>
              <w:rPr>
                <w:sz w:val="22"/>
                <w:szCs w:val="22"/>
                <w:lang w:val="el-GR"/>
              </w:rPr>
            </w:pPr>
            <w:r w:rsidRPr="00927F9F">
              <w:rPr>
                <w:sz w:val="22"/>
                <w:szCs w:val="22"/>
                <w:lang w:val="el-GR"/>
              </w:rPr>
              <w:t>Διαθέτει γνώσεις στα πλέον προχωρημένα όρια ενός πεδίου εργασίας ή σπουδής και στη διασύνδεσή του με άλλα πεδία.</w:t>
            </w:r>
          </w:p>
        </w:tc>
        <w:tc>
          <w:tcPr>
            <w:tcW w:w="3070" w:type="dxa"/>
          </w:tcPr>
          <w:p w:rsidR="00927F9F" w:rsidRPr="00927F9F" w:rsidRDefault="00927F9F" w:rsidP="008734E5">
            <w:pPr>
              <w:rPr>
                <w:sz w:val="22"/>
                <w:szCs w:val="22"/>
                <w:lang w:val="el-GR"/>
              </w:rPr>
            </w:pPr>
            <w:r w:rsidRPr="00927F9F">
              <w:rPr>
                <w:sz w:val="22"/>
                <w:szCs w:val="22"/>
                <w:lang w:val="el-GR"/>
              </w:rPr>
              <w:t>Κατέχει πλέον προχωρημένες και εξειδικευμένες δεξιότητες και τεχνικές, συμπεριλαμβανομένης της σύνθεσης και της αξιολόγησης, που απαιτούνται για την επίλυση κρίσιμων προβλημάτων στην έρευνα ή/και την καινοτομία και για τη διεύρυνση και τον επαναπροσδιορισμό των υφιστάμενων γνώσεων ή της υφιστάμενης επαγγελματικής πρακτικής.</w:t>
            </w:r>
          </w:p>
        </w:tc>
        <w:tc>
          <w:tcPr>
            <w:tcW w:w="3070" w:type="dxa"/>
          </w:tcPr>
          <w:p w:rsidR="00927F9F" w:rsidRPr="00927F9F" w:rsidRDefault="00927F9F" w:rsidP="008734E5">
            <w:pPr>
              <w:rPr>
                <w:sz w:val="22"/>
                <w:szCs w:val="22"/>
                <w:lang w:val="el-GR"/>
              </w:rPr>
            </w:pPr>
            <w:r w:rsidRPr="00927F9F">
              <w:rPr>
                <w:sz w:val="22"/>
                <w:szCs w:val="22"/>
                <w:lang w:val="el-GR"/>
              </w:rPr>
              <w:t>Επιδεικνύει ουσιαστικό κύρος, καινοτομία, αυτονομία, επιστημονική και επαγγελματική ακεραιότητα και σταθερή προσήλωση στη διαμόρφωση νέων ιδεών ή διαδικασιών στην πρωτοπορία πλαισίων εργασίας ή σπουδής, συμπεριλαμβανομένης της έρευνας.</w:t>
            </w:r>
          </w:p>
        </w:tc>
      </w:tr>
    </w:tbl>
    <w:p w:rsidR="00927F9F" w:rsidRPr="006122F8" w:rsidRDefault="00927F9F" w:rsidP="00927F9F">
      <w:pPr>
        <w:spacing w:after="160" w:line="259" w:lineRule="auto"/>
        <w:rPr>
          <w:rFonts w:ascii="Calibri" w:eastAsia="Calibri" w:hAnsi="Calibri"/>
          <w:sz w:val="22"/>
          <w:szCs w:val="22"/>
          <w:lang w:val="el-GR"/>
        </w:rPr>
      </w:pPr>
    </w:p>
    <w:p w:rsidR="00927F9F" w:rsidRDefault="00927F9F" w:rsidP="00927F9F">
      <w:pPr>
        <w:rPr>
          <w:rFonts w:ascii="Cambria" w:hAnsi="Cambria"/>
          <w:i/>
          <w:iCs/>
          <w:sz w:val="20"/>
          <w:lang w:val="el-GR"/>
        </w:rPr>
      </w:pPr>
      <w:r>
        <w:rPr>
          <w:rFonts w:ascii="Cambria" w:hAnsi="Cambria"/>
          <w:i/>
          <w:iCs/>
          <w:sz w:val="20"/>
          <w:lang w:val="el-GR"/>
        </w:rPr>
        <w:br w:type="page"/>
      </w:r>
    </w:p>
    <w:p w:rsidR="00927F9F" w:rsidRPr="007B5975" w:rsidRDefault="00927F9F" w:rsidP="00927F9F">
      <w:pPr>
        <w:pStyle w:val="1"/>
        <w:jc w:val="center"/>
        <w:rPr>
          <w:rFonts w:ascii="Cambria" w:hAnsi="Cambria" w:cs="Times New Roman"/>
          <w:sz w:val="28"/>
        </w:rPr>
      </w:pPr>
      <w:bookmarkStart w:id="1" w:name="_Toc386521842"/>
      <w:r w:rsidRPr="007B5975">
        <w:rPr>
          <w:rFonts w:ascii="Cambria" w:hAnsi="Cambria" w:cs="Times New Roman"/>
          <w:sz w:val="28"/>
        </w:rPr>
        <w:lastRenderedPageBreak/>
        <w:t>ΠΑΡΑΡΤΗΜΑ Β</w:t>
      </w:r>
      <w:bookmarkEnd w:id="1"/>
    </w:p>
    <w:p w:rsidR="00927F9F" w:rsidRDefault="00927F9F" w:rsidP="00927F9F">
      <w:pPr>
        <w:autoSpaceDE w:val="0"/>
        <w:autoSpaceDN w:val="0"/>
        <w:adjustRightInd w:val="0"/>
        <w:ind w:right="-30"/>
        <w:jc w:val="center"/>
        <w:rPr>
          <w:rFonts w:ascii="Calibri-Bold" w:eastAsia="Calibri" w:hAnsi="Calibri-Bold" w:cs="Calibri-Bold"/>
          <w:b/>
          <w:bCs/>
          <w:sz w:val="22"/>
          <w:szCs w:val="22"/>
          <w:lang w:val="el-GR"/>
        </w:rPr>
      </w:pPr>
    </w:p>
    <w:p w:rsidR="00927F9F" w:rsidRPr="007E6482" w:rsidRDefault="00927F9F" w:rsidP="00927F9F">
      <w:pPr>
        <w:autoSpaceDE w:val="0"/>
        <w:autoSpaceDN w:val="0"/>
        <w:adjustRightInd w:val="0"/>
        <w:ind w:right="-30"/>
        <w:jc w:val="center"/>
        <w:rPr>
          <w:rFonts w:ascii="Calibri-Bold" w:eastAsia="Calibri" w:hAnsi="Calibri-Bold" w:cs="Calibri-Bold"/>
          <w:b/>
          <w:bCs/>
          <w:szCs w:val="22"/>
          <w:lang w:val="el-GR"/>
        </w:rPr>
      </w:pPr>
      <w:r w:rsidRPr="007E6482">
        <w:rPr>
          <w:rFonts w:ascii="Calibri-Bold" w:eastAsia="Calibri" w:hAnsi="Calibri-Bold" w:cs="Calibri-Bold"/>
          <w:b/>
          <w:bCs/>
          <w:szCs w:val="22"/>
          <w:lang w:val="el-GR"/>
        </w:rPr>
        <w:t>Περιληπτικός Οδηγός Συγγραφής Μαθησιακών Αποτελεσμάτων</w:t>
      </w:r>
    </w:p>
    <w:p w:rsidR="00927F9F" w:rsidRPr="006122F8" w:rsidRDefault="00927F9F" w:rsidP="00927F9F">
      <w:pPr>
        <w:spacing w:after="160" w:line="259" w:lineRule="auto"/>
        <w:ind w:right="-30"/>
        <w:jc w:val="both"/>
        <w:rPr>
          <w:rFonts w:ascii="Calibri" w:eastAsia="Calibri" w:hAnsi="Calibri"/>
          <w:sz w:val="22"/>
          <w:szCs w:val="22"/>
          <w:lang w:val="el-GR"/>
        </w:rPr>
      </w:pPr>
    </w:p>
    <w:p w:rsidR="00927F9F" w:rsidRPr="006122F8" w:rsidRDefault="00927F9F" w:rsidP="00927F9F">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Σύμφωνα με την </w:t>
      </w:r>
      <w:proofErr w:type="spellStart"/>
      <w:r w:rsidRPr="006122F8">
        <w:rPr>
          <w:rFonts w:ascii="Calibri" w:eastAsia="Calibri" w:hAnsi="Calibri"/>
          <w:sz w:val="22"/>
          <w:szCs w:val="22"/>
          <w:lang w:val="el-GR"/>
        </w:rPr>
        <w:t>αριθμ</w:t>
      </w:r>
      <w:proofErr w:type="spellEnd"/>
      <w:r w:rsidRPr="006122F8">
        <w:rPr>
          <w:rFonts w:ascii="Calibri" w:eastAsia="Calibri" w:hAnsi="Calibri"/>
          <w:sz w:val="22"/>
          <w:szCs w:val="22"/>
          <w:lang w:val="el-GR"/>
        </w:rPr>
        <w:t>. Φ5/89656/Β3/13-8-2007 (ΦΕΚ 1466/</w:t>
      </w:r>
      <w:r>
        <w:rPr>
          <w:rFonts w:ascii="Calibri" w:eastAsia="Calibri" w:hAnsi="Calibri"/>
          <w:sz w:val="22"/>
          <w:szCs w:val="22"/>
          <w:lang w:val="el-GR"/>
        </w:rPr>
        <w:t xml:space="preserve">Β΄/13-8-2007) Υπουργική Απόφαση </w:t>
      </w:r>
      <w:r w:rsidRPr="006122F8">
        <w:rPr>
          <w:rFonts w:ascii="Calibri" w:eastAsia="Calibri" w:hAnsi="Calibri"/>
          <w:sz w:val="22"/>
          <w:szCs w:val="22"/>
          <w:lang w:val="el-GR"/>
        </w:rPr>
        <w:t xml:space="preserve">«Μαθησιακά αποτελέσματα είναι το σύνολο των γνώσεων, ικανοτήτων και δεξιοτήτων που οι φοιτητές ή σπουδαστές θα πρέπει να γνωρίζουν, να καταλαβαίνουν ή να είναι σε θέση να κάνουν μετά την επιτυχή ολοκλήρωση μιας συγκεκριμένης εκπαιδευτικής διαδικασίας, μακράς ή βραχείας. Τα μαθησιακά αποτελέσματα καθορίζονται εκάστοτε επακριβώς από τους οικείους διδάσκοντες ή υπεύθυνους για κάθε επιμέρους αυτοτελές εκπαιδευτικό συστατικό στοιχείο και δραστηριότητα του προγράμματος σπουδών και περιγράφονται αναλυτικά στον Ενημερωτικό Οδηγό Σπουδών κάθε Α.Ε.Ι. σύμφωνα με τα οριζόμενα στα άρθρα 2 και 3 της παρούσας απόφασης». </w:t>
      </w:r>
    </w:p>
    <w:p w:rsidR="00927F9F" w:rsidRPr="006122F8" w:rsidRDefault="00927F9F" w:rsidP="00927F9F">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Τα μαθησιακά αποτελέσματα (Μ.Α.) είναι μετρήσιμα και δηλώνουν τι αναμένεται ότι είναι ο φοιτητής </w:t>
      </w:r>
      <w:r w:rsidRPr="006122F8">
        <w:rPr>
          <w:rFonts w:ascii="Calibri" w:eastAsia="Calibri" w:hAnsi="Calibri"/>
          <w:sz w:val="22"/>
          <w:szCs w:val="22"/>
          <w:u w:val="single"/>
          <w:lang w:val="el-GR"/>
        </w:rPr>
        <w:t>ικανός να κάνει</w:t>
      </w:r>
      <w:r w:rsidRPr="006122F8">
        <w:rPr>
          <w:rFonts w:ascii="Calibri" w:eastAsia="Calibri" w:hAnsi="Calibri"/>
          <w:sz w:val="22"/>
          <w:szCs w:val="22"/>
          <w:lang w:val="el-GR"/>
        </w:rPr>
        <w:t xml:space="preserve">, όταν ολοκληρώσει επιτυχώς ένα μάθημα ή μια ενότητα μαθήματος ή και ένα ολόκληρο πρόγραμμα σπουδών, κατά περίπτωση. Αυτή η μετρήσιμη ικανότητα του φοιτητή διαφοροποιεί τα Μ.Α. από τους σχετικά απροσδιόριστους σκοπούς και στόχους κάθε μαθήματος που χρησιμοποιούνταν προηγουμένως στην περιγραφή κάθε μαθήματος. </w:t>
      </w:r>
    </w:p>
    <w:p w:rsidR="00927F9F" w:rsidRPr="006122F8" w:rsidRDefault="00927F9F" w:rsidP="00927F9F">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Κατά την </w:t>
      </w:r>
      <w:r>
        <w:rPr>
          <w:rFonts w:ascii="Calibri" w:eastAsia="Calibri" w:hAnsi="Calibri"/>
          <w:sz w:val="22"/>
          <w:szCs w:val="22"/>
          <w:lang w:val="el-GR"/>
        </w:rPr>
        <w:t>εκπόνηση</w:t>
      </w:r>
      <w:r w:rsidRPr="006122F8">
        <w:rPr>
          <w:rFonts w:ascii="Calibri" w:eastAsia="Calibri" w:hAnsi="Calibri"/>
          <w:sz w:val="22"/>
          <w:szCs w:val="22"/>
          <w:lang w:val="el-GR"/>
        </w:rPr>
        <w:t xml:space="preserve"> του προγράμματος σπουδών κάθε μάθημα έχει συνήθως 4-7 Μ.Α.  Σύμφωνα με την ταξινόμηση του </w:t>
      </w:r>
      <w:r w:rsidRPr="006122F8">
        <w:rPr>
          <w:rFonts w:ascii="Calibri" w:eastAsia="Calibri" w:hAnsi="Calibri"/>
          <w:sz w:val="22"/>
          <w:szCs w:val="22"/>
        </w:rPr>
        <w:t>Bloom</w:t>
      </w:r>
      <w:r w:rsidRPr="006122F8">
        <w:rPr>
          <w:rFonts w:ascii="Calibri" w:eastAsia="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eastAsia="Calibri" w:hAnsi="Calibri"/>
          <w:i/>
          <w:iCs/>
          <w:sz w:val="22"/>
          <w:szCs w:val="22"/>
          <w:lang w:val="el-GR"/>
        </w:rPr>
        <w:t>γνώση</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κατανόηση, εφαρμογή, ανάλυση, σύνθεση</w:t>
      </w:r>
      <w:r w:rsidRPr="006122F8">
        <w:rPr>
          <w:rFonts w:ascii="Calibri" w:eastAsia="Calibri" w:hAnsi="Calibri"/>
          <w:sz w:val="22"/>
          <w:szCs w:val="22"/>
          <w:lang w:val="el-GR"/>
        </w:rPr>
        <w:t xml:space="preserve"> και </w:t>
      </w:r>
      <w:r w:rsidRPr="006122F8">
        <w:rPr>
          <w:rFonts w:ascii="Calibri" w:eastAsia="Calibri" w:hAnsi="Calibri"/>
          <w:i/>
          <w:iCs/>
          <w:sz w:val="22"/>
          <w:szCs w:val="22"/>
          <w:lang w:val="el-GR"/>
        </w:rPr>
        <w:t>αξιολόγηση</w:t>
      </w:r>
      <w:r w:rsidRPr="006122F8">
        <w:rPr>
          <w:rFonts w:ascii="Calibri" w:eastAsia="Calibri" w:hAnsi="Calibri"/>
          <w:sz w:val="22"/>
          <w:szCs w:val="22"/>
          <w:lang w:val="el-GR"/>
        </w:rPr>
        <w:t xml:space="preserve">).  </w:t>
      </w:r>
    </w:p>
    <w:p w:rsidR="00927F9F" w:rsidRPr="006122F8" w:rsidRDefault="00927F9F" w:rsidP="00927F9F">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Τα Μ.Α. βοηθούν τους διδάσκοντες να μεταδώσουν στους φοιτητές τους τι αναμένουν από αυτού</w:t>
      </w:r>
      <w:r>
        <w:rPr>
          <w:rFonts w:ascii="Calibri" w:eastAsia="Calibri" w:hAnsi="Calibri"/>
          <w:sz w:val="22"/>
          <w:szCs w:val="22"/>
          <w:lang w:val="el-GR"/>
        </w:rPr>
        <w:t>ς. Επίσης, καθίσταται σαφές ποιε</w:t>
      </w:r>
      <w:r w:rsidRPr="006122F8">
        <w:rPr>
          <w:rFonts w:ascii="Calibri" w:eastAsia="Calibri" w:hAnsi="Calibri"/>
          <w:sz w:val="22"/>
          <w:szCs w:val="22"/>
          <w:lang w:val="el-GR"/>
        </w:rPr>
        <w:t>ς γνώσεις, ικανότητες και δεξιότητες υπολογίζει ο φοιτητής να αποκτήσει με την ολοκλήρωση ενός εξαμηνιαίου μαθήματος ή μιας διάλεξης για μια θεματική ενότητα του μαθήματος. Συγχρόνως, βοηθά τους διδάσκοντες να σχεδιάσουν πιο αποτελεσματικά  το εκπαιδευτικό τους υλικό, όπως τους βοηθά να επιλέξουν την κατάλληλη στρατηγική διδασκαλίας  (διαλέξεις, φροντιστήρια, σεμινάρια, ατομικές και ομαδικές εργασίες, ασκήσεις πράξης, εργαστηριακές ασκήσεις, κοκ.). Τέλος βοηθά τους διδάσκοντες να συνεννοηθούν μεταξύ τους για το σχεδιασμό ορισμένων εκπαιδευτικών δραστηριοτήτων προκειμένου να επιτευχθούν τα αναμενόμενα μαθησιακά αποτελέσματα.</w:t>
      </w:r>
    </w:p>
    <w:p w:rsidR="00927F9F" w:rsidRPr="006122F8" w:rsidRDefault="00927F9F" w:rsidP="00927F9F">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Τα μαθησιακά αποτελέσματα παρέχουν διαφάνεια στα συστήματα και στους τίτλους της ανώτατης εκπαίδευσης. Συσχετίζονται με το επίπεδο σπουδών, το σχεδιασμό του προγράμματος, τη διδασκαλία, τη μάθηση και τη διασφάλιση της ποιότητας. </w:t>
      </w:r>
    </w:p>
    <w:p w:rsidR="00927F9F" w:rsidRPr="006122F8" w:rsidRDefault="00927F9F" w:rsidP="00927F9F">
      <w:pPr>
        <w:spacing w:after="160" w:line="259" w:lineRule="auto"/>
        <w:ind w:right="-30"/>
        <w:jc w:val="both"/>
        <w:rPr>
          <w:rFonts w:ascii="Calibri" w:eastAsia="Calibri" w:hAnsi="Calibri"/>
          <w:sz w:val="22"/>
          <w:szCs w:val="20"/>
          <w:lang w:val="el-GR"/>
        </w:rPr>
      </w:pPr>
      <w:r w:rsidRPr="006122F8">
        <w:rPr>
          <w:rFonts w:ascii="Calibri" w:eastAsia="Calibri" w:hAnsi="Calibri"/>
          <w:sz w:val="22"/>
          <w:szCs w:val="22"/>
          <w:lang w:val="el-GR"/>
        </w:rPr>
        <w:t>Όταν τα μαθήματα ενός προγράμματος σπουδών εκφράζονται σε μαθησιακά αποτελέσματα είναι πολύ πιο εύκολο να γίνουν ακριβείς κρίσεις διότι υπάρχει μεγαλύτερη διαφάνεια στη διαδικασία της αξιολόγησης των φοιτητών. Έτσι, τα μαθησιακά αποτελέσματα βελτιώνουν τη διαφάνεια των προσόντων και καθιστούν την κρίση κατά την ακαδημαϊκή αναγνώριση ευκολότερη και ακριβέστερη.</w:t>
      </w:r>
    </w:p>
    <w:p w:rsidR="00927F9F" w:rsidRPr="006122F8" w:rsidRDefault="00927F9F" w:rsidP="00927F9F">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Ένα σημαντικό σημείο των μαθησιακών αποτελεσμάτων είναι ο σχεδιασμός των κατάλληλων μορφών αξιολόγησης των φοιτητών, προκειμένου να διαπιστωθεί από τους διδάσκοντες και το ίδρυμα ότι τα μαθησιακά αποτελέσματα έχουν επιτευχθεί. Ειδικότερα, για κάθε </w:t>
      </w:r>
      <w:r w:rsidRPr="006122F8">
        <w:rPr>
          <w:rFonts w:ascii="Calibri" w:eastAsia="Calibri" w:hAnsi="Calibri"/>
          <w:sz w:val="22"/>
          <w:szCs w:val="22"/>
          <w:lang w:val="el-GR"/>
        </w:rPr>
        <w:lastRenderedPageBreak/>
        <w:t xml:space="preserve">μαθησιακό αποτέλεσμα που σχεδιάζεται και δημοσιοποιείται είναι απαραίτητο να σχεδιάζονται και να δημοσιοποιούνται </w:t>
      </w:r>
      <w:r>
        <w:rPr>
          <w:rFonts w:ascii="Calibri" w:eastAsia="Calibri" w:hAnsi="Calibri"/>
          <w:sz w:val="22"/>
          <w:szCs w:val="22"/>
          <w:lang w:val="el-GR"/>
        </w:rPr>
        <w:t>και τα κριτήρια αξιολόγησής του.</w:t>
      </w:r>
    </w:p>
    <w:p w:rsidR="00927F9F" w:rsidRPr="006122F8" w:rsidRDefault="00927F9F" w:rsidP="00927F9F">
      <w:pPr>
        <w:spacing w:after="160" w:line="259" w:lineRule="auto"/>
        <w:ind w:right="-30"/>
        <w:jc w:val="both"/>
        <w:rPr>
          <w:rFonts w:ascii="Calibri" w:eastAsia="Calibri" w:hAnsi="Calibri"/>
          <w:sz w:val="22"/>
          <w:szCs w:val="22"/>
          <w:lang w:val="el-GR"/>
        </w:rPr>
      </w:pPr>
      <w:r w:rsidRPr="006122F8">
        <w:rPr>
          <w:rFonts w:ascii="Calibri" w:eastAsia="Calibri" w:hAnsi="Calibri"/>
          <w:sz w:val="22"/>
          <w:szCs w:val="22"/>
          <w:lang w:val="el-GR"/>
        </w:rPr>
        <w:t xml:space="preserve">Κατά την ανάπτυξη του προγράμματος σπουδών κάθε μάθημα έχει συνήθως 4-7 Μ.Α.  Σύμφωνα με την ταξινόμηση του </w:t>
      </w:r>
      <w:r w:rsidRPr="006122F8">
        <w:rPr>
          <w:rFonts w:ascii="Calibri" w:eastAsia="Calibri" w:hAnsi="Calibri"/>
          <w:sz w:val="22"/>
          <w:szCs w:val="22"/>
        </w:rPr>
        <w:t>Bloom</w:t>
      </w:r>
      <w:r w:rsidRPr="006122F8">
        <w:rPr>
          <w:rFonts w:ascii="Calibri" w:eastAsia="Calibri" w:hAnsi="Calibri"/>
          <w:sz w:val="22"/>
          <w:szCs w:val="22"/>
          <w:lang w:val="el-GR"/>
        </w:rPr>
        <w:t xml:space="preserve"> (1984) για τους εκπαιδευτικούς στόχους, τα Μ.Α. μπορεί να καταταγούν σε έξι κατηγορίες (</w:t>
      </w:r>
      <w:r w:rsidRPr="006122F8">
        <w:rPr>
          <w:rFonts w:ascii="Calibri" w:eastAsia="Calibri" w:hAnsi="Calibri"/>
          <w:i/>
          <w:iCs/>
          <w:sz w:val="22"/>
          <w:szCs w:val="22"/>
          <w:lang w:val="el-GR"/>
        </w:rPr>
        <w:t>γνώση</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 xml:space="preserve">κατανόηση, εφαρμογή, ανάλυση, </w:t>
      </w:r>
      <w:r w:rsidRPr="006122F8">
        <w:rPr>
          <w:rFonts w:ascii="Calibri" w:eastAsia="Calibri" w:hAnsi="Calibri"/>
          <w:sz w:val="22"/>
          <w:szCs w:val="22"/>
          <w:lang w:val="el-GR"/>
        </w:rPr>
        <w:t xml:space="preserve"> </w:t>
      </w:r>
      <w:r w:rsidRPr="006122F8">
        <w:rPr>
          <w:rFonts w:ascii="Calibri" w:eastAsia="Calibri" w:hAnsi="Calibri"/>
          <w:i/>
          <w:iCs/>
          <w:sz w:val="22"/>
          <w:szCs w:val="22"/>
          <w:lang w:val="el-GR"/>
        </w:rPr>
        <w:t>σύνθεση</w:t>
      </w:r>
      <w:r w:rsidRPr="006122F8">
        <w:rPr>
          <w:rFonts w:ascii="Calibri" w:eastAsia="Calibri" w:hAnsi="Calibri"/>
          <w:sz w:val="22"/>
          <w:szCs w:val="22"/>
          <w:lang w:val="el-GR"/>
        </w:rPr>
        <w:t xml:space="preserve"> και </w:t>
      </w:r>
      <w:r w:rsidRPr="006122F8">
        <w:rPr>
          <w:rFonts w:ascii="Calibri" w:eastAsia="Calibri" w:hAnsi="Calibri"/>
          <w:i/>
          <w:iCs/>
          <w:sz w:val="22"/>
          <w:szCs w:val="22"/>
          <w:lang w:val="el-GR"/>
        </w:rPr>
        <w:t>αξιολόγηση</w:t>
      </w:r>
      <w:r w:rsidRPr="006122F8">
        <w:rPr>
          <w:rFonts w:ascii="Calibri" w:eastAsia="Calibri" w:hAnsi="Calibri"/>
          <w:sz w:val="22"/>
          <w:szCs w:val="22"/>
          <w:lang w:val="el-GR"/>
        </w:rPr>
        <w:t xml:space="preserve">).  </w:t>
      </w:r>
    </w:p>
    <w:p w:rsidR="00927F9F" w:rsidRPr="006122F8" w:rsidRDefault="00927F9F" w:rsidP="00927F9F">
      <w:pPr>
        <w:spacing w:after="160" w:line="259" w:lineRule="auto"/>
        <w:ind w:right="-30"/>
        <w:jc w:val="center"/>
        <w:rPr>
          <w:rFonts w:ascii="Calibri" w:eastAsia="Calibri" w:hAnsi="Calibri"/>
          <w:b/>
          <w:sz w:val="22"/>
          <w:szCs w:val="22"/>
          <w:lang w:val="el-GR"/>
        </w:rPr>
      </w:pPr>
      <w:r w:rsidRPr="006122F8">
        <w:rPr>
          <w:rFonts w:ascii="Calibri" w:eastAsia="Calibri" w:hAnsi="Calibri"/>
          <w:b/>
          <w:sz w:val="22"/>
          <w:szCs w:val="22"/>
          <w:lang w:val="el-GR"/>
        </w:rPr>
        <w:t xml:space="preserve">Ταξινόμηση Μαθησιακών Αποτελεσμάτων κατά </w:t>
      </w:r>
      <w:proofErr w:type="spellStart"/>
      <w:r w:rsidRPr="006122F8">
        <w:rPr>
          <w:rFonts w:ascii="Calibri" w:eastAsia="Calibri" w:hAnsi="Calibri"/>
          <w:b/>
          <w:sz w:val="22"/>
          <w:szCs w:val="22"/>
          <w:lang w:val="el-GR"/>
        </w:rPr>
        <w:t>Bloom</w:t>
      </w:r>
      <w:proofErr w:type="spellEnd"/>
    </w:p>
    <w:tbl>
      <w:tblPr>
        <w:tblStyle w:val="TableGrid2"/>
        <w:tblW w:w="8789" w:type="dxa"/>
        <w:tblInd w:w="-5" w:type="dxa"/>
        <w:tblLook w:val="04A0" w:firstRow="1" w:lastRow="0" w:firstColumn="1" w:lastColumn="0" w:noHBand="0" w:noVBand="1"/>
      </w:tblPr>
      <w:tblGrid>
        <w:gridCol w:w="991"/>
        <w:gridCol w:w="3977"/>
        <w:gridCol w:w="3821"/>
      </w:tblGrid>
      <w:tr w:rsidR="00927F9F" w:rsidRPr="00927F9F" w:rsidTr="008734E5">
        <w:tc>
          <w:tcPr>
            <w:tcW w:w="978" w:type="dxa"/>
            <w:vAlign w:val="center"/>
          </w:tcPr>
          <w:p w:rsidR="00927F9F" w:rsidRPr="006122F8" w:rsidRDefault="00927F9F" w:rsidP="008734E5">
            <w:pPr>
              <w:jc w:val="center"/>
              <w:rPr>
                <w:b/>
                <w:sz w:val="22"/>
                <w:szCs w:val="22"/>
              </w:rPr>
            </w:pPr>
            <w:r w:rsidRPr="006122F8">
              <w:rPr>
                <w:b/>
                <w:sz w:val="22"/>
                <w:szCs w:val="22"/>
              </w:rPr>
              <w:t>Επίπ</w:t>
            </w:r>
            <w:proofErr w:type="spellStart"/>
            <w:r w:rsidRPr="006122F8">
              <w:rPr>
                <w:b/>
                <w:sz w:val="22"/>
                <w:szCs w:val="22"/>
              </w:rPr>
              <w:t>εδο</w:t>
            </w:r>
            <w:proofErr w:type="spellEnd"/>
          </w:p>
        </w:tc>
        <w:tc>
          <w:tcPr>
            <w:tcW w:w="3984" w:type="dxa"/>
            <w:vAlign w:val="center"/>
          </w:tcPr>
          <w:p w:rsidR="00927F9F" w:rsidRPr="006122F8" w:rsidRDefault="00927F9F" w:rsidP="008734E5">
            <w:pPr>
              <w:jc w:val="center"/>
              <w:rPr>
                <w:b/>
                <w:sz w:val="22"/>
                <w:szCs w:val="22"/>
              </w:rPr>
            </w:pPr>
            <w:r w:rsidRPr="006122F8">
              <w:rPr>
                <w:b/>
                <w:sz w:val="22"/>
                <w:szCs w:val="22"/>
              </w:rPr>
              <w:t>Απ</w:t>
            </w:r>
            <w:proofErr w:type="spellStart"/>
            <w:r w:rsidRPr="006122F8">
              <w:rPr>
                <w:b/>
                <w:sz w:val="22"/>
                <w:szCs w:val="22"/>
              </w:rPr>
              <w:t>οτέλεσμ</w:t>
            </w:r>
            <w:proofErr w:type="spellEnd"/>
            <w:r w:rsidRPr="006122F8">
              <w:rPr>
                <w:b/>
                <w:sz w:val="22"/>
                <w:szCs w:val="22"/>
              </w:rPr>
              <w:t>α</w:t>
            </w:r>
          </w:p>
        </w:tc>
        <w:tc>
          <w:tcPr>
            <w:tcW w:w="3827" w:type="dxa"/>
            <w:vAlign w:val="center"/>
          </w:tcPr>
          <w:p w:rsidR="00927F9F" w:rsidRPr="00927F9F" w:rsidRDefault="00927F9F" w:rsidP="008734E5">
            <w:pPr>
              <w:jc w:val="center"/>
              <w:rPr>
                <w:b/>
                <w:sz w:val="22"/>
                <w:szCs w:val="22"/>
                <w:lang w:val="el-GR"/>
              </w:rPr>
            </w:pPr>
            <w:r w:rsidRPr="00927F9F">
              <w:rPr>
                <w:b/>
                <w:sz w:val="22"/>
                <w:szCs w:val="22"/>
                <w:lang w:val="el-GR"/>
              </w:rPr>
              <w:t>Ενδεικτικά ρήματα που χρησιμοποιούνται για τη συγγραφή Μαθησιακών Αποτελεσμάτων</w:t>
            </w:r>
          </w:p>
        </w:tc>
      </w:tr>
      <w:tr w:rsidR="00927F9F" w:rsidRPr="00927F9F" w:rsidTr="008734E5">
        <w:tc>
          <w:tcPr>
            <w:tcW w:w="978" w:type="dxa"/>
          </w:tcPr>
          <w:p w:rsidR="00927F9F" w:rsidRPr="006122F8" w:rsidRDefault="00927F9F" w:rsidP="008734E5">
            <w:pPr>
              <w:jc w:val="center"/>
              <w:rPr>
                <w:sz w:val="22"/>
                <w:szCs w:val="22"/>
              </w:rPr>
            </w:pPr>
            <w:r w:rsidRPr="006122F8">
              <w:rPr>
                <w:sz w:val="22"/>
                <w:szCs w:val="22"/>
              </w:rPr>
              <w:t>1.</w:t>
            </w:r>
          </w:p>
        </w:tc>
        <w:tc>
          <w:tcPr>
            <w:tcW w:w="3984" w:type="dxa"/>
          </w:tcPr>
          <w:p w:rsidR="00927F9F" w:rsidRPr="00927F9F" w:rsidRDefault="00927F9F" w:rsidP="008734E5">
            <w:pPr>
              <w:rPr>
                <w:sz w:val="22"/>
                <w:szCs w:val="22"/>
                <w:lang w:val="el-GR"/>
              </w:rPr>
            </w:pPr>
            <w:r w:rsidRPr="00927F9F">
              <w:rPr>
                <w:b/>
                <w:sz w:val="22"/>
                <w:szCs w:val="22"/>
                <w:lang w:val="el-GR"/>
              </w:rPr>
              <w:t>γνώση</w:t>
            </w:r>
            <w:r w:rsidRPr="00927F9F">
              <w:rPr>
                <w:sz w:val="22"/>
                <w:szCs w:val="22"/>
                <w:lang w:val="el-GR"/>
              </w:rPr>
              <w:t xml:space="preserve">: </w:t>
            </w:r>
          </w:p>
          <w:p w:rsidR="00927F9F" w:rsidRPr="00927F9F" w:rsidRDefault="00927F9F" w:rsidP="008734E5">
            <w:pPr>
              <w:rPr>
                <w:sz w:val="22"/>
                <w:szCs w:val="22"/>
                <w:lang w:val="el-GR"/>
              </w:rPr>
            </w:pPr>
            <w:r w:rsidRPr="00927F9F">
              <w:rPr>
                <w:sz w:val="22"/>
                <w:szCs w:val="22"/>
                <w:lang w:val="el-GR"/>
              </w:rPr>
              <w:t>ανάκληση δεδομένων ή πληροφορίας</w:t>
            </w:r>
          </w:p>
        </w:tc>
        <w:tc>
          <w:tcPr>
            <w:tcW w:w="3827" w:type="dxa"/>
          </w:tcPr>
          <w:p w:rsidR="00927F9F" w:rsidRPr="00927F9F" w:rsidRDefault="00927F9F" w:rsidP="008734E5">
            <w:pPr>
              <w:rPr>
                <w:sz w:val="22"/>
                <w:szCs w:val="22"/>
                <w:lang w:val="el-GR"/>
              </w:rPr>
            </w:pPr>
            <w:r w:rsidRPr="00927F9F">
              <w:rPr>
                <w:sz w:val="22"/>
                <w:szCs w:val="22"/>
                <w:lang w:val="el-GR"/>
              </w:rPr>
              <w:t>περιγράφω, συνδυάζω, προσδιορίζω, αναγνωρίζω, επιλέγω, δηλώνω, κλπ.</w:t>
            </w:r>
          </w:p>
        </w:tc>
      </w:tr>
      <w:tr w:rsidR="00927F9F" w:rsidRPr="00927F9F" w:rsidTr="008734E5">
        <w:tc>
          <w:tcPr>
            <w:tcW w:w="978" w:type="dxa"/>
          </w:tcPr>
          <w:p w:rsidR="00927F9F" w:rsidRPr="006122F8" w:rsidRDefault="00927F9F" w:rsidP="008734E5">
            <w:pPr>
              <w:jc w:val="center"/>
              <w:rPr>
                <w:sz w:val="22"/>
                <w:szCs w:val="22"/>
              </w:rPr>
            </w:pPr>
            <w:r w:rsidRPr="006122F8">
              <w:rPr>
                <w:sz w:val="22"/>
                <w:szCs w:val="22"/>
              </w:rPr>
              <w:t>2.</w:t>
            </w:r>
          </w:p>
        </w:tc>
        <w:tc>
          <w:tcPr>
            <w:tcW w:w="3984" w:type="dxa"/>
          </w:tcPr>
          <w:p w:rsidR="00927F9F" w:rsidRPr="00927F9F" w:rsidRDefault="00927F9F" w:rsidP="008734E5">
            <w:pPr>
              <w:rPr>
                <w:sz w:val="22"/>
                <w:szCs w:val="22"/>
                <w:lang w:val="el-GR"/>
              </w:rPr>
            </w:pPr>
            <w:r w:rsidRPr="00927F9F">
              <w:rPr>
                <w:b/>
                <w:sz w:val="22"/>
                <w:szCs w:val="22"/>
                <w:lang w:val="el-GR"/>
              </w:rPr>
              <w:t>κατανόηση</w:t>
            </w:r>
            <w:r w:rsidRPr="00927F9F">
              <w:rPr>
                <w:sz w:val="22"/>
                <w:szCs w:val="22"/>
                <w:lang w:val="el-GR"/>
              </w:rPr>
              <w:t xml:space="preserve">:  </w:t>
            </w:r>
          </w:p>
          <w:p w:rsidR="00927F9F" w:rsidRPr="00927F9F" w:rsidRDefault="00927F9F" w:rsidP="008734E5">
            <w:pPr>
              <w:rPr>
                <w:sz w:val="22"/>
                <w:szCs w:val="22"/>
                <w:lang w:val="el-GR"/>
              </w:rPr>
            </w:pPr>
            <w:r w:rsidRPr="00927F9F">
              <w:rPr>
                <w:sz w:val="22"/>
                <w:szCs w:val="22"/>
                <w:lang w:val="el-GR"/>
              </w:rPr>
              <w:t>ερμηνεία προβλημάτων, δήλωση ενός προβλήματος με διαφορετικές λέξεις</w:t>
            </w:r>
          </w:p>
        </w:tc>
        <w:tc>
          <w:tcPr>
            <w:tcW w:w="3827" w:type="dxa"/>
          </w:tcPr>
          <w:p w:rsidR="00927F9F" w:rsidRPr="00927F9F" w:rsidRDefault="00927F9F" w:rsidP="008734E5">
            <w:pPr>
              <w:rPr>
                <w:sz w:val="22"/>
                <w:szCs w:val="22"/>
                <w:lang w:val="el-GR"/>
              </w:rPr>
            </w:pPr>
            <w:r w:rsidRPr="00927F9F">
              <w:rPr>
                <w:sz w:val="22"/>
                <w:szCs w:val="22"/>
                <w:lang w:val="el-GR"/>
              </w:rPr>
              <w:t>διακρίνω, εξηγώ, εκτιμώ, γενικεύω, συμπεραίνω, κλπ.</w:t>
            </w:r>
          </w:p>
        </w:tc>
      </w:tr>
      <w:tr w:rsidR="00927F9F" w:rsidRPr="00927F9F" w:rsidTr="008734E5">
        <w:tc>
          <w:tcPr>
            <w:tcW w:w="978" w:type="dxa"/>
          </w:tcPr>
          <w:p w:rsidR="00927F9F" w:rsidRPr="006122F8" w:rsidRDefault="00927F9F" w:rsidP="008734E5">
            <w:pPr>
              <w:jc w:val="center"/>
              <w:rPr>
                <w:sz w:val="22"/>
                <w:szCs w:val="22"/>
              </w:rPr>
            </w:pPr>
            <w:r w:rsidRPr="006122F8">
              <w:rPr>
                <w:sz w:val="22"/>
                <w:szCs w:val="22"/>
              </w:rPr>
              <w:t>3.</w:t>
            </w:r>
          </w:p>
        </w:tc>
        <w:tc>
          <w:tcPr>
            <w:tcW w:w="3984" w:type="dxa"/>
          </w:tcPr>
          <w:p w:rsidR="00927F9F" w:rsidRPr="00927F9F" w:rsidRDefault="00927F9F" w:rsidP="008734E5">
            <w:pPr>
              <w:rPr>
                <w:sz w:val="22"/>
                <w:szCs w:val="22"/>
                <w:lang w:val="el-GR"/>
              </w:rPr>
            </w:pPr>
            <w:r w:rsidRPr="00927F9F">
              <w:rPr>
                <w:b/>
                <w:sz w:val="22"/>
                <w:szCs w:val="22"/>
                <w:lang w:val="el-GR"/>
              </w:rPr>
              <w:t>εφαρμογή</w:t>
            </w:r>
            <w:r w:rsidRPr="00927F9F">
              <w:rPr>
                <w:sz w:val="22"/>
                <w:szCs w:val="22"/>
                <w:lang w:val="el-GR"/>
              </w:rPr>
              <w:t xml:space="preserve">: </w:t>
            </w:r>
          </w:p>
          <w:p w:rsidR="00927F9F" w:rsidRPr="00927F9F" w:rsidRDefault="00927F9F" w:rsidP="008734E5">
            <w:pPr>
              <w:rPr>
                <w:sz w:val="22"/>
                <w:szCs w:val="22"/>
                <w:lang w:val="el-GR"/>
              </w:rPr>
            </w:pPr>
            <w:r w:rsidRPr="00927F9F">
              <w:rPr>
                <w:sz w:val="22"/>
                <w:szCs w:val="22"/>
                <w:lang w:val="el-GR"/>
              </w:rPr>
              <w:t>χρήση μιας έννοιας σε νέα πλαίσια</w:t>
            </w:r>
          </w:p>
        </w:tc>
        <w:tc>
          <w:tcPr>
            <w:tcW w:w="3827" w:type="dxa"/>
          </w:tcPr>
          <w:p w:rsidR="00927F9F" w:rsidRPr="00927F9F" w:rsidRDefault="00927F9F" w:rsidP="008734E5">
            <w:pPr>
              <w:rPr>
                <w:sz w:val="22"/>
                <w:szCs w:val="22"/>
                <w:lang w:val="el-GR"/>
              </w:rPr>
            </w:pPr>
            <w:r w:rsidRPr="00927F9F">
              <w:rPr>
                <w:sz w:val="22"/>
                <w:szCs w:val="22"/>
                <w:lang w:val="el-GR"/>
              </w:rPr>
              <w:t>προσθέτω, υπολογίζω, αλλάζω, ταξινομώ, ανακαλύπτω, εξετάζω, παράγω, κλπ.</w:t>
            </w:r>
          </w:p>
        </w:tc>
      </w:tr>
      <w:tr w:rsidR="00927F9F" w:rsidRPr="00927F9F" w:rsidTr="008734E5">
        <w:tc>
          <w:tcPr>
            <w:tcW w:w="978" w:type="dxa"/>
          </w:tcPr>
          <w:p w:rsidR="00927F9F" w:rsidRPr="006122F8" w:rsidRDefault="00927F9F" w:rsidP="008734E5">
            <w:pPr>
              <w:jc w:val="center"/>
              <w:rPr>
                <w:sz w:val="22"/>
                <w:szCs w:val="22"/>
              </w:rPr>
            </w:pPr>
            <w:r w:rsidRPr="006122F8">
              <w:rPr>
                <w:sz w:val="22"/>
                <w:szCs w:val="22"/>
              </w:rPr>
              <w:t>4.</w:t>
            </w:r>
          </w:p>
        </w:tc>
        <w:tc>
          <w:tcPr>
            <w:tcW w:w="3984" w:type="dxa"/>
          </w:tcPr>
          <w:p w:rsidR="00927F9F" w:rsidRPr="00927F9F" w:rsidRDefault="00927F9F" w:rsidP="008734E5">
            <w:pPr>
              <w:rPr>
                <w:sz w:val="22"/>
                <w:szCs w:val="22"/>
                <w:lang w:val="el-GR"/>
              </w:rPr>
            </w:pPr>
            <w:r w:rsidRPr="00927F9F">
              <w:rPr>
                <w:b/>
                <w:sz w:val="22"/>
                <w:szCs w:val="22"/>
                <w:lang w:val="el-GR"/>
              </w:rPr>
              <w:t>ανάλυση</w:t>
            </w:r>
            <w:r w:rsidRPr="00927F9F">
              <w:rPr>
                <w:sz w:val="22"/>
                <w:szCs w:val="22"/>
                <w:lang w:val="el-GR"/>
              </w:rPr>
              <w:t xml:space="preserve">: </w:t>
            </w:r>
          </w:p>
          <w:p w:rsidR="00927F9F" w:rsidRPr="00927F9F" w:rsidRDefault="00927F9F" w:rsidP="008734E5">
            <w:pPr>
              <w:rPr>
                <w:sz w:val="22"/>
                <w:szCs w:val="22"/>
                <w:lang w:val="el-GR"/>
              </w:rPr>
            </w:pPr>
            <w:r w:rsidRPr="00927F9F">
              <w:rPr>
                <w:sz w:val="22"/>
                <w:szCs w:val="22"/>
                <w:lang w:val="el-GR"/>
              </w:rPr>
              <w:t>διάκριση σε συστατικά μέρη και κατανόηση της οργανωτικής τους δομής</w:t>
            </w:r>
          </w:p>
        </w:tc>
        <w:tc>
          <w:tcPr>
            <w:tcW w:w="3827" w:type="dxa"/>
          </w:tcPr>
          <w:p w:rsidR="00927F9F" w:rsidRPr="00927F9F" w:rsidRDefault="00927F9F" w:rsidP="008734E5">
            <w:pPr>
              <w:rPr>
                <w:sz w:val="22"/>
                <w:szCs w:val="22"/>
                <w:lang w:val="el-GR"/>
              </w:rPr>
            </w:pPr>
            <w:r w:rsidRPr="00927F9F">
              <w:rPr>
                <w:sz w:val="22"/>
                <w:szCs w:val="22"/>
                <w:lang w:val="el-GR"/>
              </w:rPr>
              <w:t>συνδυάζω, σχεδιάζω, αναπτύσσω, διαφοροποιώ, υποδιαιρώ, κλπ.</w:t>
            </w:r>
          </w:p>
        </w:tc>
      </w:tr>
      <w:tr w:rsidR="00927F9F" w:rsidRPr="00927F9F" w:rsidTr="008734E5">
        <w:tc>
          <w:tcPr>
            <w:tcW w:w="978" w:type="dxa"/>
          </w:tcPr>
          <w:p w:rsidR="00927F9F" w:rsidRPr="006122F8" w:rsidRDefault="00927F9F" w:rsidP="008734E5">
            <w:pPr>
              <w:jc w:val="center"/>
              <w:rPr>
                <w:sz w:val="22"/>
                <w:szCs w:val="22"/>
              </w:rPr>
            </w:pPr>
            <w:r w:rsidRPr="006122F8">
              <w:rPr>
                <w:sz w:val="22"/>
                <w:szCs w:val="22"/>
              </w:rPr>
              <w:t>5.</w:t>
            </w:r>
          </w:p>
        </w:tc>
        <w:tc>
          <w:tcPr>
            <w:tcW w:w="3984" w:type="dxa"/>
          </w:tcPr>
          <w:p w:rsidR="00927F9F" w:rsidRPr="00927F9F" w:rsidRDefault="00927F9F" w:rsidP="008734E5">
            <w:pPr>
              <w:rPr>
                <w:sz w:val="22"/>
                <w:szCs w:val="22"/>
                <w:lang w:val="el-GR"/>
              </w:rPr>
            </w:pPr>
            <w:r w:rsidRPr="00927F9F">
              <w:rPr>
                <w:b/>
                <w:sz w:val="22"/>
                <w:szCs w:val="22"/>
                <w:lang w:val="el-GR"/>
              </w:rPr>
              <w:t>σύνθεση</w:t>
            </w:r>
            <w:r w:rsidRPr="00927F9F">
              <w:rPr>
                <w:sz w:val="22"/>
                <w:szCs w:val="22"/>
                <w:lang w:val="el-GR"/>
              </w:rPr>
              <w:t xml:space="preserve">: </w:t>
            </w:r>
          </w:p>
          <w:p w:rsidR="00927F9F" w:rsidRPr="00927F9F" w:rsidRDefault="00927F9F" w:rsidP="008734E5">
            <w:pPr>
              <w:rPr>
                <w:sz w:val="22"/>
                <w:szCs w:val="22"/>
                <w:lang w:val="el-GR"/>
              </w:rPr>
            </w:pPr>
            <w:r w:rsidRPr="00927F9F">
              <w:rPr>
                <w:sz w:val="22"/>
                <w:szCs w:val="22"/>
                <w:lang w:val="el-GR"/>
              </w:rPr>
              <w:t>κατασκευή νέας δομής από διαφορετικά στοιχεία</w:t>
            </w:r>
          </w:p>
        </w:tc>
        <w:tc>
          <w:tcPr>
            <w:tcW w:w="3827" w:type="dxa"/>
          </w:tcPr>
          <w:p w:rsidR="00927F9F" w:rsidRPr="00927F9F" w:rsidRDefault="00927F9F" w:rsidP="008734E5">
            <w:pPr>
              <w:rPr>
                <w:sz w:val="22"/>
                <w:szCs w:val="22"/>
                <w:lang w:val="el-GR"/>
              </w:rPr>
            </w:pPr>
            <w:r w:rsidRPr="00927F9F">
              <w:rPr>
                <w:sz w:val="22"/>
                <w:szCs w:val="22"/>
                <w:lang w:val="el-GR"/>
              </w:rPr>
              <w:t>δημιουργώ, συνθέτω, εξηγώ, οργανώνω, προτείνω, ανακατασκευάζω, αναδιοργανώνω, αναθεωρώ, κλπ.</w:t>
            </w:r>
          </w:p>
        </w:tc>
      </w:tr>
      <w:tr w:rsidR="00927F9F" w:rsidRPr="00927F9F" w:rsidTr="008734E5">
        <w:tc>
          <w:tcPr>
            <w:tcW w:w="978" w:type="dxa"/>
          </w:tcPr>
          <w:p w:rsidR="00927F9F" w:rsidRPr="006122F8" w:rsidRDefault="00927F9F" w:rsidP="008734E5">
            <w:pPr>
              <w:jc w:val="center"/>
              <w:rPr>
                <w:sz w:val="22"/>
                <w:szCs w:val="22"/>
              </w:rPr>
            </w:pPr>
            <w:r w:rsidRPr="006122F8">
              <w:rPr>
                <w:sz w:val="22"/>
                <w:szCs w:val="22"/>
              </w:rPr>
              <w:t>6.</w:t>
            </w:r>
          </w:p>
        </w:tc>
        <w:tc>
          <w:tcPr>
            <w:tcW w:w="3984" w:type="dxa"/>
          </w:tcPr>
          <w:p w:rsidR="00927F9F" w:rsidRPr="006122F8" w:rsidRDefault="00927F9F" w:rsidP="008734E5">
            <w:pPr>
              <w:rPr>
                <w:sz w:val="22"/>
                <w:szCs w:val="22"/>
              </w:rPr>
            </w:pPr>
            <w:r w:rsidRPr="006122F8">
              <w:rPr>
                <w:b/>
                <w:sz w:val="22"/>
                <w:szCs w:val="22"/>
              </w:rPr>
              <w:t>α</w:t>
            </w:r>
            <w:proofErr w:type="spellStart"/>
            <w:r w:rsidRPr="006122F8">
              <w:rPr>
                <w:b/>
                <w:sz w:val="22"/>
                <w:szCs w:val="22"/>
              </w:rPr>
              <w:t>ξιολόγηση</w:t>
            </w:r>
            <w:proofErr w:type="spellEnd"/>
            <w:r w:rsidRPr="006122F8">
              <w:rPr>
                <w:sz w:val="22"/>
                <w:szCs w:val="22"/>
              </w:rPr>
              <w:t xml:space="preserve">: </w:t>
            </w:r>
          </w:p>
          <w:p w:rsidR="00927F9F" w:rsidRPr="006122F8" w:rsidRDefault="00927F9F" w:rsidP="008734E5">
            <w:pPr>
              <w:rPr>
                <w:sz w:val="22"/>
                <w:szCs w:val="22"/>
              </w:rPr>
            </w:pPr>
            <w:proofErr w:type="spellStart"/>
            <w:r>
              <w:rPr>
                <w:sz w:val="22"/>
                <w:szCs w:val="22"/>
              </w:rPr>
              <w:t>δ</w:t>
            </w:r>
            <w:r w:rsidRPr="006122F8">
              <w:rPr>
                <w:sz w:val="22"/>
                <w:szCs w:val="22"/>
              </w:rPr>
              <w:t>ι</w:t>
            </w:r>
            <w:proofErr w:type="spellEnd"/>
            <w:r w:rsidRPr="006122F8">
              <w:rPr>
                <w:sz w:val="22"/>
                <w:szCs w:val="22"/>
              </w:rPr>
              <w:t>ατύπωση α</w:t>
            </w:r>
            <w:proofErr w:type="spellStart"/>
            <w:r w:rsidRPr="006122F8">
              <w:rPr>
                <w:sz w:val="22"/>
                <w:szCs w:val="22"/>
              </w:rPr>
              <w:t>ξιολογικών</w:t>
            </w:r>
            <w:proofErr w:type="spellEnd"/>
            <w:r w:rsidRPr="006122F8">
              <w:rPr>
                <w:sz w:val="22"/>
                <w:szCs w:val="22"/>
              </w:rPr>
              <w:t xml:space="preserve"> </w:t>
            </w:r>
            <w:proofErr w:type="spellStart"/>
            <w:r w:rsidRPr="006122F8">
              <w:rPr>
                <w:sz w:val="22"/>
                <w:szCs w:val="22"/>
              </w:rPr>
              <w:t>κρίσεων</w:t>
            </w:r>
            <w:proofErr w:type="spellEnd"/>
          </w:p>
        </w:tc>
        <w:tc>
          <w:tcPr>
            <w:tcW w:w="3827" w:type="dxa"/>
          </w:tcPr>
          <w:p w:rsidR="00927F9F" w:rsidRPr="00927F9F" w:rsidRDefault="00927F9F" w:rsidP="008734E5">
            <w:pPr>
              <w:rPr>
                <w:sz w:val="22"/>
                <w:szCs w:val="22"/>
                <w:lang w:val="el-GR"/>
              </w:rPr>
            </w:pPr>
            <w:r w:rsidRPr="00927F9F">
              <w:rPr>
                <w:sz w:val="22"/>
                <w:szCs w:val="22"/>
                <w:lang w:val="el-GR"/>
              </w:rPr>
              <w:t>συγκρίνω, συμπεραίνω, αξιολογώ, ορίζω,  κρίνω, μετρώ, υποστηρίζω, κλπ.</w:t>
            </w:r>
          </w:p>
        </w:tc>
      </w:tr>
    </w:tbl>
    <w:p w:rsidR="00927F9F" w:rsidRPr="006122F8" w:rsidRDefault="00927F9F" w:rsidP="00927F9F">
      <w:pPr>
        <w:spacing w:after="160" w:line="259" w:lineRule="auto"/>
        <w:ind w:right="112"/>
        <w:jc w:val="both"/>
        <w:rPr>
          <w:rFonts w:ascii="Calibri" w:eastAsia="Calibri" w:hAnsi="Calibri"/>
          <w:sz w:val="22"/>
          <w:szCs w:val="22"/>
          <w:lang w:val="el-GR"/>
        </w:rPr>
      </w:pPr>
    </w:p>
    <w:p w:rsidR="00927F9F" w:rsidRPr="006122F8" w:rsidRDefault="00927F9F" w:rsidP="00927F9F">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Σημειώνεται ότι πολλοί διδάσκοντες έχουν ήδη συμπτύξει τα 6 παραπάνω επίπεδα σε 3 κατηγορίες:</w:t>
      </w:r>
    </w:p>
    <w:p w:rsidR="00927F9F" w:rsidRPr="006122F8" w:rsidRDefault="00927F9F" w:rsidP="00927F9F">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 xml:space="preserve">1.- τη </w:t>
      </w:r>
      <w:r w:rsidRPr="006122F8">
        <w:rPr>
          <w:rFonts w:ascii="Calibri" w:eastAsia="Calibri" w:hAnsi="Calibri"/>
          <w:b/>
          <w:sz w:val="22"/>
          <w:szCs w:val="22"/>
          <w:lang w:val="el-GR"/>
        </w:rPr>
        <w:t>γνώση</w:t>
      </w:r>
    </w:p>
    <w:p w:rsidR="00927F9F" w:rsidRPr="006122F8" w:rsidRDefault="00927F9F" w:rsidP="00927F9F">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2.- το συνδυασμό της κατανόησης και της εφαρμογής (</w:t>
      </w:r>
      <w:r w:rsidRPr="006122F8">
        <w:rPr>
          <w:rFonts w:ascii="Calibri" w:eastAsia="Calibri" w:hAnsi="Calibri"/>
          <w:b/>
          <w:sz w:val="22"/>
          <w:szCs w:val="22"/>
          <w:lang w:val="el-GR"/>
        </w:rPr>
        <w:t>δεξιότητα</w:t>
      </w:r>
      <w:r w:rsidRPr="006122F8">
        <w:rPr>
          <w:rFonts w:ascii="Calibri" w:eastAsia="Calibri" w:hAnsi="Calibri"/>
          <w:sz w:val="22"/>
          <w:szCs w:val="22"/>
          <w:lang w:val="el-GR"/>
        </w:rPr>
        <w:t>)</w:t>
      </w:r>
    </w:p>
    <w:p w:rsidR="00927F9F" w:rsidRPr="006122F8" w:rsidRDefault="00927F9F" w:rsidP="00927F9F">
      <w:pPr>
        <w:spacing w:after="160" w:line="259" w:lineRule="auto"/>
        <w:ind w:right="112"/>
        <w:jc w:val="both"/>
        <w:rPr>
          <w:rFonts w:ascii="Calibri" w:eastAsia="Calibri" w:hAnsi="Calibri"/>
          <w:sz w:val="22"/>
          <w:szCs w:val="22"/>
          <w:lang w:val="el-GR"/>
        </w:rPr>
      </w:pPr>
      <w:r w:rsidRPr="006122F8">
        <w:rPr>
          <w:rFonts w:ascii="Calibri" w:eastAsia="Calibri" w:hAnsi="Calibri"/>
          <w:sz w:val="22"/>
          <w:szCs w:val="22"/>
          <w:lang w:val="el-GR"/>
        </w:rPr>
        <w:t xml:space="preserve">3.- την επίλυση προβλημάτων, μεταφέροντας την υπάρχουσα γνώση και τις </w:t>
      </w:r>
      <w:proofErr w:type="spellStart"/>
      <w:r w:rsidRPr="006122F8">
        <w:rPr>
          <w:rFonts w:ascii="Calibri" w:eastAsia="Calibri" w:hAnsi="Calibri"/>
          <w:sz w:val="22"/>
          <w:szCs w:val="22"/>
          <w:lang w:val="el-GR"/>
        </w:rPr>
        <w:t>αποκτηθείσες</w:t>
      </w:r>
      <w:proofErr w:type="spellEnd"/>
      <w:r w:rsidRPr="006122F8">
        <w:rPr>
          <w:rFonts w:ascii="Calibri" w:eastAsia="Calibri" w:hAnsi="Calibri"/>
          <w:sz w:val="22"/>
          <w:szCs w:val="22"/>
          <w:lang w:val="el-GR"/>
        </w:rPr>
        <w:t xml:space="preserve"> δεξιότητες σε νέες καταστάσεις (</w:t>
      </w:r>
      <w:r w:rsidRPr="006122F8">
        <w:rPr>
          <w:rFonts w:ascii="Calibri" w:eastAsia="Calibri" w:hAnsi="Calibri"/>
          <w:b/>
          <w:sz w:val="22"/>
          <w:szCs w:val="22"/>
          <w:lang w:val="el-GR"/>
        </w:rPr>
        <w:t>ικανότητα</w:t>
      </w:r>
      <w:r w:rsidRPr="006122F8">
        <w:rPr>
          <w:rFonts w:ascii="Calibri" w:eastAsia="Calibri" w:hAnsi="Calibri"/>
          <w:sz w:val="22"/>
          <w:szCs w:val="22"/>
          <w:lang w:val="el-GR"/>
        </w:rPr>
        <w:t>)</w:t>
      </w:r>
    </w:p>
    <w:p w:rsidR="00927F9F" w:rsidRPr="00C92672" w:rsidRDefault="00927F9F" w:rsidP="00927F9F">
      <w:pPr>
        <w:spacing w:after="160" w:line="259" w:lineRule="auto"/>
        <w:ind w:right="112"/>
        <w:jc w:val="both"/>
        <w:rPr>
          <w:rFonts w:ascii="Calibri" w:eastAsia="Calibri" w:hAnsi="Calibri"/>
          <w:sz w:val="22"/>
          <w:szCs w:val="22"/>
          <w:lang w:val="el-GR"/>
        </w:rPr>
      </w:pPr>
      <w:r w:rsidRPr="00C92672">
        <w:rPr>
          <w:rFonts w:ascii="Calibri" w:eastAsia="Calibri" w:hAnsi="Calibri"/>
          <w:b/>
          <w:bCs/>
          <w:sz w:val="22"/>
          <w:szCs w:val="22"/>
          <w:lang w:val="el-GR"/>
        </w:rPr>
        <w:t>Η διαφοροποίηση των μαθησιακών αποτελεσμάτων</w:t>
      </w:r>
      <w:r>
        <w:rPr>
          <w:rFonts w:ascii="Calibri" w:eastAsia="Calibri" w:hAnsi="Calibri"/>
          <w:b/>
          <w:bCs/>
          <w:sz w:val="22"/>
          <w:szCs w:val="22"/>
          <w:lang w:val="el-GR"/>
        </w:rPr>
        <w:t xml:space="preserve"> </w:t>
      </w:r>
      <w:r w:rsidRPr="00C92672">
        <w:rPr>
          <w:rFonts w:ascii="Calibri" w:eastAsia="Calibri" w:hAnsi="Calibri"/>
          <w:bCs/>
          <w:sz w:val="22"/>
          <w:szCs w:val="22"/>
          <w:lang w:val="el-GR"/>
        </w:rPr>
        <w:t>σ</w:t>
      </w:r>
      <w:r w:rsidRPr="00C92672">
        <w:rPr>
          <w:rFonts w:ascii="Calibri" w:eastAsia="Calibri" w:hAnsi="Calibri"/>
          <w:sz w:val="22"/>
          <w:szCs w:val="22"/>
          <w:lang w:val="el-GR"/>
        </w:rPr>
        <w:t xml:space="preserve">ε γνώσεις, δεξιότητες και ικανότητες βοηθά στη σαφή δόμηση περιγραφικών δεικτών και στην ευκολότερη κατηγοριοποίηση των επιπέδων προσόντων. </w:t>
      </w:r>
    </w:p>
    <w:p w:rsidR="00927F9F" w:rsidRPr="00C92672" w:rsidRDefault="00927F9F" w:rsidP="00927F9F">
      <w:pPr>
        <w:spacing w:after="160" w:line="259" w:lineRule="auto"/>
        <w:ind w:right="112"/>
        <w:jc w:val="both"/>
        <w:rPr>
          <w:rFonts w:ascii="Calibri" w:eastAsia="Calibri" w:hAnsi="Calibri"/>
          <w:sz w:val="22"/>
          <w:szCs w:val="22"/>
          <w:lang w:val="el-GR"/>
        </w:rPr>
      </w:pPr>
      <w:r>
        <w:rPr>
          <w:rFonts w:ascii="Calibri" w:eastAsia="Calibri" w:hAnsi="Calibri"/>
          <w:sz w:val="22"/>
          <w:szCs w:val="22"/>
          <w:lang w:val="el-GR"/>
        </w:rPr>
        <w:t xml:space="preserve">Με τον </w:t>
      </w:r>
      <w:r w:rsidRPr="00C92672">
        <w:rPr>
          <w:rFonts w:ascii="Calibri" w:eastAsia="Calibri" w:hAnsi="Calibri"/>
          <w:sz w:val="22"/>
          <w:szCs w:val="22"/>
          <w:lang w:val="el-GR"/>
        </w:rPr>
        <w:t xml:space="preserve">ον όρο </w:t>
      </w:r>
      <w:r w:rsidRPr="00C92672">
        <w:rPr>
          <w:rFonts w:ascii="Calibri" w:eastAsia="Calibri" w:hAnsi="Calibri"/>
          <w:b/>
          <w:bCs/>
          <w:sz w:val="22"/>
          <w:szCs w:val="22"/>
          <w:lang w:val="el-GR"/>
        </w:rPr>
        <w:t xml:space="preserve">«γνώσεις» </w:t>
      </w:r>
      <w:r w:rsidRPr="00C92672">
        <w:rPr>
          <w:rFonts w:ascii="Calibri" w:eastAsia="Calibri" w:hAnsi="Calibri"/>
          <w:sz w:val="22"/>
          <w:szCs w:val="22"/>
          <w:lang w:val="el-GR"/>
        </w:rPr>
        <w:t xml:space="preserve">νοείται το αποτέλεσμα της αφομοίωσης πληροφοριών μέσω της μάθησης. Οι γνώσεις είναι το σώμα θετικών στοιχείων, αρχών, θεωριών και πρακτικών που σχετίζεται με ένα πεδίο σπουδής ή εργασίας. Οι γνώσεις χαρακτηρίζονται ως </w:t>
      </w:r>
      <w:r w:rsidRPr="00C92672">
        <w:rPr>
          <w:rFonts w:ascii="Calibri" w:eastAsia="Calibri" w:hAnsi="Calibri"/>
          <w:b/>
          <w:bCs/>
          <w:sz w:val="22"/>
          <w:szCs w:val="22"/>
          <w:lang w:val="el-GR"/>
        </w:rPr>
        <w:t>θεωρητικές ή/ και αντικειμενικές.</w:t>
      </w:r>
    </w:p>
    <w:p w:rsidR="00927F9F" w:rsidRPr="00C92672" w:rsidRDefault="00927F9F" w:rsidP="00927F9F">
      <w:pPr>
        <w:spacing w:after="160" w:line="259" w:lineRule="auto"/>
        <w:ind w:right="112"/>
        <w:jc w:val="both"/>
        <w:rPr>
          <w:rFonts w:ascii="Calibri" w:eastAsia="Calibri" w:hAnsi="Calibri"/>
          <w:sz w:val="22"/>
          <w:szCs w:val="22"/>
          <w:lang w:val="el-GR"/>
        </w:rPr>
      </w:pPr>
      <w:r w:rsidRPr="00C92672">
        <w:rPr>
          <w:rFonts w:ascii="Calibri" w:eastAsia="Calibri" w:hAnsi="Calibri"/>
          <w:sz w:val="22"/>
          <w:szCs w:val="22"/>
          <w:lang w:val="el-GR"/>
        </w:rPr>
        <w:t xml:space="preserve">Με τον όρο </w:t>
      </w:r>
      <w:r w:rsidRPr="007568E0">
        <w:rPr>
          <w:rFonts w:ascii="Calibri" w:eastAsia="Calibri" w:hAnsi="Calibri"/>
          <w:b/>
          <w:sz w:val="22"/>
          <w:szCs w:val="22"/>
          <w:lang w:val="el-GR"/>
        </w:rPr>
        <w:t>«δεξιότητες»</w:t>
      </w:r>
      <w:r w:rsidRPr="00C92672">
        <w:rPr>
          <w:rFonts w:ascii="Calibri" w:eastAsia="Calibri" w:hAnsi="Calibri"/>
          <w:sz w:val="22"/>
          <w:szCs w:val="22"/>
          <w:lang w:val="el-GR"/>
        </w:rPr>
        <w:t xml:space="preserve"> νοείται η ικανότητα εφαρμογής γνώσεων και αξιοποίησης τεχνογνωσίας για την εκπλήρωση εργασιών και την επίλυση προβλημάτων. Οι δεξιότητες περιγράφονται ως νοητικές (χρήση λογικής, διαισθητικής και δημιουργικής σκέψης) και </w:t>
      </w:r>
      <w:r w:rsidRPr="00C92672">
        <w:rPr>
          <w:rFonts w:ascii="Calibri" w:eastAsia="Calibri" w:hAnsi="Calibri"/>
          <w:sz w:val="22"/>
          <w:szCs w:val="22"/>
          <w:lang w:val="el-GR"/>
        </w:rPr>
        <w:lastRenderedPageBreak/>
        <w:t>πρακτικές (αφορούν τη χειρωνακτική επιδεξιότητα και τη χρήση μεθόδων, υλικών, εργαλείων και οργάνων)</w:t>
      </w:r>
    </w:p>
    <w:p w:rsidR="00927F9F" w:rsidRDefault="00927F9F" w:rsidP="00927F9F">
      <w:pPr>
        <w:spacing w:after="160" w:line="259" w:lineRule="auto"/>
        <w:ind w:right="112"/>
        <w:jc w:val="both"/>
        <w:rPr>
          <w:rFonts w:ascii="Calibri" w:eastAsia="Calibri" w:hAnsi="Calibri"/>
          <w:sz w:val="22"/>
          <w:szCs w:val="22"/>
          <w:lang w:val="el-GR"/>
        </w:rPr>
      </w:pPr>
      <w:r w:rsidRPr="00C92672">
        <w:rPr>
          <w:rFonts w:ascii="Calibri" w:eastAsia="Calibri" w:hAnsi="Calibri"/>
          <w:sz w:val="22"/>
          <w:szCs w:val="22"/>
          <w:lang w:val="el-GR"/>
        </w:rPr>
        <w:t xml:space="preserve">Με τον όρο </w:t>
      </w:r>
      <w:r w:rsidRPr="00C92672">
        <w:rPr>
          <w:rFonts w:ascii="Calibri" w:eastAsia="Calibri" w:hAnsi="Calibri"/>
          <w:b/>
          <w:bCs/>
          <w:sz w:val="22"/>
          <w:szCs w:val="22"/>
          <w:lang w:val="el-GR"/>
        </w:rPr>
        <w:t xml:space="preserve">«ικανότητες» </w:t>
      </w:r>
      <w:r w:rsidRPr="00C92672">
        <w:rPr>
          <w:rFonts w:ascii="Calibri" w:eastAsia="Calibri" w:hAnsi="Calibri"/>
          <w:sz w:val="22"/>
          <w:szCs w:val="22"/>
          <w:lang w:val="el-GR"/>
        </w:rPr>
        <w:t xml:space="preserve">νοείται η αποδεδειγμένη επάρκεια στη χρήση γνώσεων, δεξιοτήτων και προσωπικών, κοινωνικών ή/και μεθοδολογικών δυνατοτήτων σε περιστάσεις εργασίας ή σπουδών και στην επαγγελματική ή/ και προσωπική ανέλιξη. Η περιγραφή ως προς τις «ικανότητες» αφορά </w:t>
      </w:r>
      <w:r w:rsidRPr="00C92672">
        <w:rPr>
          <w:rFonts w:ascii="Calibri" w:eastAsia="Calibri" w:hAnsi="Calibri"/>
          <w:b/>
          <w:bCs/>
          <w:sz w:val="22"/>
          <w:szCs w:val="22"/>
          <w:lang w:val="el-GR"/>
        </w:rPr>
        <w:t>την υπευθυνότητα και την αυτονομία</w:t>
      </w:r>
    </w:p>
    <w:p w:rsidR="00927F9F" w:rsidRDefault="00927F9F" w:rsidP="00927F9F">
      <w:pPr>
        <w:spacing w:after="160" w:line="259" w:lineRule="auto"/>
        <w:ind w:right="112"/>
        <w:jc w:val="both"/>
        <w:rPr>
          <w:rFonts w:ascii="Calibri" w:eastAsia="Calibri" w:hAnsi="Calibri"/>
          <w:sz w:val="22"/>
          <w:szCs w:val="22"/>
          <w:lang w:val="el-GR"/>
        </w:rPr>
      </w:pPr>
    </w:p>
    <w:p w:rsidR="00927F9F" w:rsidRPr="006122F8" w:rsidRDefault="00927F9F" w:rsidP="00927F9F">
      <w:pPr>
        <w:spacing w:after="160" w:line="259" w:lineRule="auto"/>
        <w:ind w:right="112"/>
        <w:jc w:val="both"/>
        <w:rPr>
          <w:rFonts w:ascii="Calibri" w:eastAsia="Calibri" w:hAnsi="Calibri"/>
          <w:sz w:val="22"/>
          <w:szCs w:val="22"/>
          <w:lang w:val="el-GR"/>
        </w:rPr>
      </w:pPr>
    </w:p>
    <w:p w:rsidR="00927F9F" w:rsidRPr="00C56E49" w:rsidRDefault="00927F9F" w:rsidP="00927F9F">
      <w:pPr>
        <w:spacing w:after="160" w:line="259" w:lineRule="auto"/>
        <w:ind w:right="112"/>
        <w:jc w:val="both"/>
        <w:rPr>
          <w:rFonts w:ascii="Calibri" w:eastAsia="Calibri" w:hAnsi="Calibri"/>
          <w:b/>
          <w:sz w:val="22"/>
          <w:szCs w:val="22"/>
          <w:lang w:val="el-GR"/>
        </w:rPr>
      </w:pPr>
      <w:r w:rsidRPr="00C56E49">
        <w:rPr>
          <w:rFonts w:ascii="Calibri" w:eastAsia="Calibri" w:hAnsi="Calibri"/>
          <w:b/>
          <w:sz w:val="22"/>
          <w:szCs w:val="22"/>
          <w:lang w:val="el-GR"/>
        </w:rPr>
        <w:t>Πηγές:</w:t>
      </w:r>
    </w:p>
    <w:p w:rsidR="00927F9F" w:rsidRPr="00E731FB" w:rsidRDefault="00927F9F" w:rsidP="00927F9F">
      <w:pPr>
        <w:spacing w:line="259" w:lineRule="auto"/>
        <w:ind w:right="113"/>
        <w:jc w:val="both"/>
        <w:rPr>
          <w:rFonts w:ascii="Calibri" w:eastAsia="Calibri" w:hAnsi="Calibri"/>
          <w:sz w:val="22"/>
          <w:szCs w:val="22"/>
          <w:lang w:val="el-GR"/>
        </w:rPr>
      </w:pPr>
      <w:r w:rsidRPr="00E731FB">
        <w:rPr>
          <w:rFonts w:ascii="Calibri" w:eastAsia="Calibri" w:hAnsi="Calibri"/>
          <w:sz w:val="22"/>
          <w:szCs w:val="22"/>
          <w:lang w:val="el-GR"/>
        </w:rPr>
        <w:t>Ευρωπαϊκό Πλαίσιο Προσόντων:</w:t>
      </w:r>
    </w:p>
    <w:p w:rsidR="00927F9F" w:rsidRPr="00E731FB" w:rsidRDefault="00927F9F" w:rsidP="00927F9F">
      <w:pPr>
        <w:spacing w:after="160" w:line="259" w:lineRule="auto"/>
        <w:rPr>
          <w:rFonts w:ascii="Calibri" w:eastAsia="Calibri" w:hAnsi="Calibri"/>
          <w:color w:val="0563C1"/>
          <w:sz w:val="22"/>
          <w:szCs w:val="22"/>
          <w:lang w:val="el-GR"/>
        </w:rPr>
      </w:pPr>
      <w:hyperlink r:id="rId5" w:history="1">
        <w:r w:rsidRPr="00E731FB">
          <w:rPr>
            <w:rFonts w:ascii="Calibri" w:eastAsia="Calibri" w:hAnsi="Calibri"/>
            <w:color w:val="0563C1"/>
            <w:sz w:val="22"/>
            <w:szCs w:val="22"/>
          </w:rPr>
          <w:t>http</w:t>
        </w:r>
        <w:r w:rsidRPr="00E731FB">
          <w:rPr>
            <w:rFonts w:ascii="Calibri" w:eastAsia="Calibri" w:hAnsi="Calibri"/>
            <w:color w:val="0563C1"/>
            <w:sz w:val="22"/>
            <w:szCs w:val="22"/>
            <w:lang w:val="el-GR"/>
          </w:rPr>
          <w:t>://</w:t>
        </w:r>
        <w:proofErr w:type="spellStart"/>
        <w:r w:rsidRPr="00E731FB">
          <w:rPr>
            <w:rFonts w:ascii="Calibri" w:eastAsia="Calibri" w:hAnsi="Calibri"/>
            <w:color w:val="0563C1"/>
            <w:sz w:val="22"/>
            <w:szCs w:val="22"/>
          </w:rPr>
          <w:t>ec</w:t>
        </w:r>
        <w:proofErr w:type="spellEnd"/>
        <w:r w:rsidRPr="00E731FB">
          <w:rPr>
            <w:rFonts w:ascii="Calibri" w:eastAsia="Calibri" w:hAnsi="Calibri"/>
            <w:color w:val="0563C1"/>
            <w:sz w:val="22"/>
            <w:szCs w:val="22"/>
            <w:lang w:val="el-GR"/>
          </w:rPr>
          <w:t>.</w:t>
        </w:r>
        <w:proofErr w:type="spellStart"/>
        <w:r w:rsidRPr="00E731FB">
          <w:rPr>
            <w:rFonts w:ascii="Calibri" w:eastAsia="Calibri" w:hAnsi="Calibri"/>
            <w:color w:val="0563C1"/>
            <w:sz w:val="22"/>
            <w:szCs w:val="22"/>
          </w:rPr>
          <w:t>europa</w:t>
        </w:r>
        <w:proofErr w:type="spellEnd"/>
        <w:r w:rsidRPr="00E731FB">
          <w:rPr>
            <w:rFonts w:ascii="Calibri" w:eastAsia="Calibri" w:hAnsi="Calibri"/>
            <w:color w:val="0563C1"/>
            <w:sz w:val="22"/>
            <w:szCs w:val="22"/>
            <w:lang w:val="el-GR"/>
          </w:rPr>
          <w:t>.</w:t>
        </w:r>
        <w:proofErr w:type="spellStart"/>
        <w:r w:rsidRPr="00E731FB">
          <w:rPr>
            <w:rFonts w:ascii="Calibri" w:eastAsia="Calibri" w:hAnsi="Calibri"/>
            <w:color w:val="0563C1"/>
            <w:sz w:val="22"/>
            <w:szCs w:val="22"/>
          </w:rPr>
          <w:t>eu</w:t>
        </w:r>
        <w:proofErr w:type="spellEnd"/>
        <w:r w:rsidRPr="00E731FB">
          <w:rPr>
            <w:rFonts w:ascii="Calibri" w:eastAsia="Calibri" w:hAnsi="Calibri"/>
            <w:color w:val="0563C1"/>
            <w:sz w:val="22"/>
            <w:szCs w:val="22"/>
            <w:lang w:val="el-GR"/>
          </w:rPr>
          <w:t>/</w:t>
        </w:r>
        <w:proofErr w:type="spellStart"/>
        <w:r w:rsidRPr="00E731FB">
          <w:rPr>
            <w:rFonts w:ascii="Calibri" w:eastAsia="Calibri" w:hAnsi="Calibri"/>
            <w:color w:val="0563C1"/>
            <w:sz w:val="22"/>
            <w:szCs w:val="22"/>
          </w:rPr>
          <w:t>eqf</w:t>
        </w:r>
        <w:proofErr w:type="spellEnd"/>
        <w:r w:rsidRPr="00E731FB">
          <w:rPr>
            <w:rFonts w:ascii="Calibri" w:eastAsia="Calibri" w:hAnsi="Calibri"/>
            <w:color w:val="0563C1"/>
            <w:sz w:val="22"/>
            <w:szCs w:val="22"/>
            <w:lang w:val="el-GR"/>
          </w:rPr>
          <w:t>/</w:t>
        </w:r>
        <w:r w:rsidRPr="00E731FB">
          <w:rPr>
            <w:rFonts w:ascii="Calibri" w:eastAsia="Calibri" w:hAnsi="Calibri"/>
            <w:color w:val="0563C1"/>
            <w:sz w:val="22"/>
            <w:szCs w:val="22"/>
          </w:rPr>
          <w:t>compare</w:t>
        </w:r>
        <w:r w:rsidRPr="00E731FB">
          <w:rPr>
            <w:rFonts w:ascii="Calibri" w:eastAsia="Calibri" w:hAnsi="Calibri"/>
            <w:color w:val="0563C1"/>
            <w:sz w:val="22"/>
            <w:szCs w:val="22"/>
            <w:lang w:val="el-GR"/>
          </w:rPr>
          <w:t>_</w:t>
        </w:r>
        <w:proofErr w:type="spellStart"/>
        <w:r w:rsidRPr="00E731FB">
          <w:rPr>
            <w:rFonts w:ascii="Calibri" w:eastAsia="Calibri" w:hAnsi="Calibri"/>
            <w:color w:val="0563C1"/>
            <w:sz w:val="22"/>
            <w:szCs w:val="22"/>
          </w:rPr>
          <w:t>en</w:t>
        </w:r>
        <w:proofErr w:type="spellEnd"/>
        <w:r w:rsidRPr="00E731FB">
          <w:rPr>
            <w:rFonts w:ascii="Calibri" w:eastAsia="Calibri" w:hAnsi="Calibri"/>
            <w:color w:val="0563C1"/>
            <w:sz w:val="22"/>
            <w:szCs w:val="22"/>
            <w:lang w:val="el-GR"/>
          </w:rPr>
          <w:t>.</w:t>
        </w:r>
        <w:proofErr w:type="spellStart"/>
        <w:r w:rsidRPr="00E731FB">
          <w:rPr>
            <w:rFonts w:ascii="Calibri" w:eastAsia="Calibri" w:hAnsi="Calibri"/>
            <w:color w:val="0563C1"/>
            <w:sz w:val="22"/>
            <w:szCs w:val="22"/>
          </w:rPr>
          <w:t>htm</w:t>
        </w:r>
        <w:proofErr w:type="spellEnd"/>
      </w:hyperlink>
      <w:r w:rsidRPr="00E731FB">
        <w:rPr>
          <w:rFonts w:ascii="Calibri" w:eastAsia="Calibri" w:hAnsi="Calibri"/>
          <w:color w:val="0563C1"/>
          <w:sz w:val="22"/>
          <w:szCs w:val="22"/>
          <w:lang w:val="el-GR"/>
        </w:rPr>
        <w:t xml:space="preserve"> </w:t>
      </w:r>
    </w:p>
    <w:p w:rsidR="00927F9F" w:rsidRPr="00E731FB" w:rsidRDefault="00927F9F" w:rsidP="00927F9F">
      <w:pPr>
        <w:rPr>
          <w:rFonts w:ascii="Calibri" w:eastAsia="Calibri" w:hAnsi="Calibri"/>
          <w:sz w:val="22"/>
          <w:szCs w:val="22"/>
          <w:lang w:val="en-GB"/>
        </w:rPr>
      </w:pPr>
      <w:hyperlink r:id="rId6" w:history="1">
        <w:r w:rsidRPr="00BA3B50">
          <w:rPr>
            <w:rFonts w:ascii="Calibri" w:eastAsia="Calibri" w:hAnsi="Calibri"/>
            <w:sz w:val="22"/>
            <w:szCs w:val="22"/>
          </w:rPr>
          <w:t>Tuning Educational Structures in Europe</w:t>
        </w:r>
      </w:hyperlink>
      <w:r w:rsidRPr="00E731FB">
        <w:rPr>
          <w:rFonts w:ascii="Calibri" w:eastAsia="Calibri" w:hAnsi="Calibri"/>
          <w:sz w:val="22"/>
          <w:szCs w:val="22"/>
          <w:lang w:val="en-GB"/>
        </w:rPr>
        <w:t>:</w:t>
      </w:r>
    </w:p>
    <w:p w:rsidR="00927F9F" w:rsidRPr="007B5975" w:rsidRDefault="00927F9F" w:rsidP="00927F9F">
      <w:pPr>
        <w:spacing w:after="160" w:line="259" w:lineRule="auto"/>
        <w:rPr>
          <w:rFonts w:ascii="Calibri" w:eastAsia="Calibri" w:hAnsi="Calibri"/>
          <w:color w:val="0563C1"/>
          <w:sz w:val="22"/>
          <w:szCs w:val="22"/>
          <w:u w:val="single"/>
        </w:rPr>
      </w:pPr>
      <w:hyperlink r:id="rId7" w:history="1">
        <w:r w:rsidRPr="007B5975">
          <w:rPr>
            <w:rFonts w:ascii="Calibri" w:eastAsia="Calibri" w:hAnsi="Calibri"/>
            <w:color w:val="0563C1"/>
            <w:sz w:val="22"/>
            <w:szCs w:val="22"/>
          </w:rPr>
          <w:t>http://www.unideusto.org/tuningeu/</w:t>
        </w:r>
      </w:hyperlink>
    </w:p>
    <w:p w:rsidR="00927F9F" w:rsidRPr="0060443B" w:rsidRDefault="00927F9F" w:rsidP="00927F9F">
      <w:pPr>
        <w:rPr>
          <w:rFonts w:ascii="Calibri" w:eastAsia="Calibri" w:hAnsi="Calibri"/>
          <w:sz w:val="22"/>
          <w:szCs w:val="22"/>
        </w:rPr>
      </w:pPr>
      <w:r w:rsidRPr="0060443B">
        <w:rPr>
          <w:rFonts w:ascii="Calibri" w:eastAsia="Calibri" w:hAnsi="Calibri"/>
          <w:sz w:val="22"/>
          <w:szCs w:val="22"/>
        </w:rPr>
        <w:t>Support Guide for drafting, implementing and evaluating learning outcomes</w:t>
      </w:r>
    </w:p>
    <w:p w:rsidR="00927F9F" w:rsidRPr="0060443B" w:rsidRDefault="00927F9F" w:rsidP="00927F9F">
      <w:pPr>
        <w:spacing w:after="160" w:line="259" w:lineRule="auto"/>
        <w:rPr>
          <w:rFonts w:ascii="Calibri" w:eastAsia="Calibri" w:hAnsi="Calibri"/>
          <w:sz w:val="22"/>
          <w:szCs w:val="22"/>
        </w:rPr>
      </w:pPr>
      <w:hyperlink r:id="rId8" w:history="1">
        <w:r w:rsidRPr="005F76CE">
          <w:rPr>
            <w:rStyle w:val="-"/>
            <w:rFonts w:ascii="Calibri" w:eastAsia="Calibri" w:hAnsi="Calibri"/>
            <w:sz w:val="22"/>
            <w:szCs w:val="22"/>
          </w:rPr>
          <w:t>http://www.aneca.es/eng/Press-service/News/2013/ANECA-launches-the-Support-Guide-for-drafting-implementing-and-evaluating-learning-outcomes</w:t>
        </w:r>
      </w:hyperlink>
      <w:r w:rsidRPr="0060443B">
        <w:rPr>
          <w:rFonts w:ascii="Calibri" w:eastAsia="Calibri" w:hAnsi="Calibri"/>
          <w:sz w:val="22"/>
          <w:szCs w:val="22"/>
        </w:rPr>
        <w:t xml:space="preserve"> </w:t>
      </w:r>
    </w:p>
    <w:p w:rsidR="00927F9F" w:rsidRPr="0060443B" w:rsidRDefault="00927F9F" w:rsidP="00927F9F">
      <w:pPr>
        <w:spacing w:after="160" w:line="259" w:lineRule="auto"/>
        <w:rPr>
          <w:rFonts w:ascii="Calibri" w:eastAsia="Calibri" w:hAnsi="Calibri"/>
          <w:sz w:val="22"/>
          <w:szCs w:val="22"/>
          <w:lang w:val="en-GB"/>
        </w:rPr>
      </w:pPr>
      <w:r w:rsidRPr="0060443B">
        <w:rPr>
          <w:rFonts w:ascii="Calibri" w:eastAsia="Calibri" w:hAnsi="Calibri"/>
          <w:sz w:val="22"/>
          <w:szCs w:val="22"/>
        </w:rPr>
        <w:t>Learning Outcomes in Quality Assurance and Accreditation Principles, recommendations and practice</w:t>
      </w:r>
      <w:r w:rsidRPr="0060443B">
        <w:rPr>
          <w:rFonts w:ascii="Calibri" w:eastAsia="Calibri" w:hAnsi="Calibri"/>
          <w:sz w:val="22"/>
          <w:szCs w:val="22"/>
          <w:lang w:val="en-GB"/>
        </w:rPr>
        <w:t xml:space="preserve"> </w:t>
      </w:r>
      <w:hyperlink r:id="rId9" w:history="1">
        <w:r w:rsidRPr="005F76CE">
          <w:rPr>
            <w:rStyle w:val="-"/>
            <w:rFonts w:ascii="Calibri" w:eastAsia="Calibri" w:hAnsi="Calibri"/>
            <w:sz w:val="22"/>
            <w:szCs w:val="22"/>
            <w:lang w:val="en-GB"/>
          </w:rPr>
          <w:t>http://ecahe.eu/w/images/b/ba/Publication-Learning_Outcomes_in_Quality_Assurance_and_Accreditation.pdf</w:t>
        </w:r>
      </w:hyperlink>
      <w:r w:rsidRPr="0060443B">
        <w:rPr>
          <w:rFonts w:ascii="Calibri" w:eastAsia="Calibri" w:hAnsi="Calibri"/>
          <w:sz w:val="22"/>
          <w:szCs w:val="22"/>
          <w:lang w:val="en-GB"/>
        </w:rPr>
        <w:t xml:space="preserve"> </w:t>
      </w:r>
    </w:p>
    <w:p w:rsidR="00927F9F" w:rsidRPr="0060443B" w:rsidRDefault="00927F9F" w:rsidP="00927F9F">
      <w:pPr>
        <w:rPr>
          <w:rFonts w:ascii="Cambria" w:hAnsi="Cambria"/>
          <w:i/>
          <w:iCs/>
          <w:sz w:val="20"/>
        </w:rPr>
      </w:pPr>
      <w:r w:rsidRPr="0060443B">
        <w:rPr>
          <w:rFonts w:ascii="Cambria" w:hAnsi="Cambria"/>
          <w:i/>
          <w:iCs/>
          <w:sz w:val="20"/>
        </w:rPr>
        <w:br w:type="page"/>
      </w:r>
    </w:p>
    <w:p w:rsidR="00E97B28" w:rsidRPr="00927F9F" w:rsidRDefault="00927F9F" w:rsidP="00927F9F">
      <w:bookmarkStart w:id="2" w:name="_GoBack"/>
      <w:bookmarkEnd w:id="2"/>
    </w:p>
    <w:sectPr w:rsidR="00E97B28" w:rsidRPr="00927F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9F"/>
    <w:rsid w:val="003241B6"/>
    <w:rsid w:val="00927F9F"/>
    <w:rsid w:val="00C51E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80AF-42E3-4ACD-B6DA-F616E65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F9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9"/>
    <w:qFormat/>
    <w:rsid w:val="00927F9F"/>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27F9F"/>
    <w:rPr>
      <w:rFonts w:ascii="Arial" w:eastAsia="Times New Roman" w:hAnsi="Arial" w:cs="Arial"/>
      <w:b/>
      <w:bCs/>
      <w:sz w:val="32"/>
      <w:szCs w:val="24"/>
    </w:rPr>
  </w:style>
  <w:style w:type="character" w:styleId="-">
    <w:name w:val="Hyperlink"/>
    <w:basedOn w:val="a0"/>
    <w:uiPriority w:val="99"/>
    <w:rsid w:val="00927F9F"/>
    <w:rPr>
      <w:rFonts w:cs="Times New Roman"/>
      <w:color w:val="0000FF"/>
      <w:u w:val="single"/>
    </w:rPr>
  </w:style>
  <w:style w:type="paragraph" w:styleId="a3">
    <w:name w:val="List Paragraph"/>
    <w:basedOn w:val="a"/>
    <w:uiPriority w:val="99"/>
    <w:qFormat/>
    <w:rsid w:val="00927F9F"/>
    <w:pPr>
      <w:spacing w:after="200" w:line="276" w:lineRule="auto"/>
      <w:ind w:left="720"/>
      <w:contextualSpacing/>
    </w:pPr>
    <w:rPr>
      <w:rFonts w:ascii="Calibri" w:hAnsi="Calibri"/>
      <w:sz w:val="22"/>
      <w:szCs w:val="22"/>
      <w:lang w:val="el-GR"/>
    </w:rPr>
  </w:style>
  <w:style w:type="table" w:customStyle="1" w:styleId="TableGrid1">
    <w:name w:val="Table Grid1"/>
    <w:uiPriority w:val="39"/>
    <w:rsid w:val="00927F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927F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ca.es/eng/Press-service/News/2013/ANECA-launches-the-Support-Guide-for-drafting-implementing-and-evaluating-learning-outcomes" TargetMode="External"/><Relationship Id="rId3" Type="http://schemas.openxmlformats.org/officeDocument/2006/relationships/settings" Target="settings.xml"/><Relationship Id="rId7" Type="http://schemas.openxmlformats.org/officeDocument/2006/relationships/hyperlink" Target="http://www.unideusto.org/tun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deusto.org/tuningeu/home.html" TargetMode="External"/><Relationship Id="rId11" Type="http://schemas.openxmlformats.org/officeDocument/2006/relationships/theme" Target="theme/theme1.xml"/><Relationship Id="rId5" Type="http://schemas.openxmlformats.org/officeDocument/2006/relationships/hyperlink" Target="http://ec.europa.eu/eqf/compare_e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ahe.eu/w/images/b/ba/Publication-Learning_Outcomes_in_Quality_Assurance_and_Accreditation.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2662</Words>
  <Characters>14379</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Konstanteli Antonia</dc:creator>
  <cp:keywords/>
  <dc:description/>
  <cp:lastModifiedBy>Konstanteli Antonia</cp:lastModifiedBy>
  <cp:revision>1</cp:revision>
  <dcterms:created xsi:type="dcterms:W3CDTF">2019-10-09T14:07:00Z</dcterms:created>
  <dcterms:modified xsi:type="dcterms:W3CDTF">2019-10-09T14:10:00Z</dcterms:modified>
</cp:coreProperties>
</file>